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576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w:t>
      </w:r>
    </w:p>
    <w:p w14:paraId="611C6E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2025年基层健康教育开展情况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68"/>
        <w:gridCol w:w="5567"/>
        <w:gridCol w:w="1180"/>
      </w:tblGrid>
      <w:tr w14:paraId="659E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pct"/>
            <w:vAlign w:val="center"/>
          </w:tcPr>
          <w:p w14:paraId="3FF600BF">
            <w:pPr>
              <w:spacing w:line="240" w:lineRule="auto"/>
              <w:jc w:val="center"/>
              <w:rPr>
                <w:rFonts w:hint="eastAsia" w:eastAsiaTheme="minorEastAsia"/>
                <w:b/>
                <w:bCs/>
                <w:sz w:val="28"/>
                <w:szCs w:val="28"/>
                <w:vertAlign w:val="baseline"/>
                <w:lang w:eastAsia="zh-CN"/>
              </w:rPr>
            </w:pPr>
            <w:r>
              <w:rPr>
                <w:rFonts w:hint="eastAsia"/>
                <w:b/>
                <w:bCs/>
                <w:sz w:val="28"/>
                <w:szCs w:val="28"/>
                <w:vertAlign w:val="baseline"/>
                <w:lang w:eastAsia="zh-CN"/>
              </w:rPr>
              <w:t>序号</w:t>
            </w:r>
          </w:p>
        </w:tc>
        <w:tc>
          <w:tcPr>
            <w:tcW w:w="898" w:type="pct"/>
            <w:vAlign w:val="center"/>
          </w:tcPr>
          <w:p w14:paraId="05FC7F53">
            <w:pPr>
              <w:spacing w:line="240" w:lineRule="auto"/>
              <w:jc w:val="center"/>
              <w:rPr>
                <w:rFonts w:hint="eastAsia" w:eastAsiaTheme="minorEastAsia"/>
                <w:b/>
                <w:bCs/>
                <w:sz w:val="28"/>
                <w:szCs w:val="28"/>
                <w:vertAlign w:val="baseline"/>
                <w:lang w:eastAsia="zh-CN"/>
              </w:rPr>
            </w:pPr>
            <w:r>
              <w:rPr>
                <w:rFonts w:hint="eastAsia"/>
                <w:b/>
                <w:bCs/>
                <w:sz w:val="28"/>
                <w:szCs w:val="28"/>
                <w:vertAlign w:val="baseline"/>
                <w:lang w:eastAsia="zh-CN"/>
              </w:rPr>
              <w:t>时间</w:t>
            </w:r>
          </w:p>
        </w:tc>
        <w:tc>
          <w:tcPr>
            <w:tcW w:w="2996" w:type="pct"/>
            <w:vAlign w:val="center"/>
          </w:tcPr>
          <w:p w14:paraId="4F6F0FEA">
            <w:pPr>
              <w:spacing w:line="240" w:lineRule="auto"/>
              <w:jc w:val="center"/>
              <w:rPr>
                <w:rFonts w:hint="eastAsia" w:eastAsiaTheme="minorEastAsia"/>
                <w:b/>
                <w:bCs/>
                <w:sz w:val="28"/>
                <w:szCs w:val="28"/>
                <w:vertAlign w:val="baseline"/>
                <w:lang w:eastAsia="zh-CN"/>
              </w:rPr>
            </w:pPr>
            <w:r>
              <w:rPr>
                <w:rFonts w:hint="eastAsia"/>
                <w:b/>
                <w:bCs/>
                <w:sz w:val="28"/>
                <w:szCs w:val="28"/>
                <w:vertAlign w:val="baseline"/>
                <w:lang w:eastAsia="zh-CN"/>
              </w:rPr>
              <w:t>内容</w:t>
            </w:r>
          </w:p>
        </w:tc>
        <w:tc>
          <w:tcPr>
            <w:tcW w:w="635" w:type="pct"/>
            <w:vAlign w:val="center"/>
          </w:tcPr>
          <w:p w14:paraId="0E168D9F">
            <w:pPr>
              <w:spacing w:line="240" w:lineRule="auto"/>
              <w:jc w:val="center"/>
              <w:rPr>
                <w:b/>
                <w:bCs/>
                <w:sz w:val="28"/>
                <w:szCs w:val="28"/>
                <w:vertAlign w:val="baseline"/>
              </w:rPr>
            </w:pPr>
            <w:r>
              <w:rPr>
                <w:rFonts w:hint="eastAsia"/>
                <w:b/>
                <w:bCs/>
                <w:sz w:val="28"/>
                <w:szCs w:val="28"/>
                <w:vertAlign w:val="baseline"/>
                <w:lang w:eastAsia="zh-CN"/>
              </w:rPr>
              <w:t>地点</w:t>
            </w:r>
          </w:p>
        </w:tc>
      </w:tr>
      <w:tr w14:paraId="7CC7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pct"/>
            <w:vAlign w:val="center"/>
          </w:tcPr>
          <w:p w14:paraId="28196026">
            <w:pPr>
              <w:spacing w:line="240" w:lineRule="auto"/>
              <w:jc w:val="center"/>
              <w:rPr>
                <w:rFonts w:hint="eastAsia"/>
                <w:sz w:val="28"/>
                <w:szCs w:val="28"/>
                <w:vertAlign w:val="baseline"/>
                <w:lang w:val="en-US" w:eastAsia="zh-CN"/>
              </w:rPr>
            </w:pPr>
            <w:r>
              <w:rPr>
                <w:rFonts w:hint="eastAsia"/>
                <w:sz w:val="28"/>
                <w:szCs w:val="28"/>
                <w:vertAlign w:val="baseline"/>
                <w:lang w:val="en-US" w:eastAsia="zh-CN"/>
              </w:rPr>
              <w:t>1</w:t>
            </w:r>
          </w:p>
        </w:tc>
        <w:tc>
          <w:tcPr>
            <w:tcW w:w="898" w:type="pct"/>
            <w:vAlign w:val="center"/>
          </w:tcPr>
          <w:p w14:paraId="3D45739B">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2025.5.20</w:t>
            </w:r>
          </w:p>
        </w:tc>
        <w:tc>
          <w:tcPr>
            <w:tcW w:w="2996" w:type="pct"/>
            <w:vAlign w:val="center"/>
          </w:tcPr>
          <w:p w14:paraId="1CD471DC">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《儿童腹泻》</w:t>
            </w:r>
          </w:p>
          <w:p w14:paraId="22B0D4F8">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《儿童常见发育行为疾病》</w:t>
            </w:r>
          </w:p>
          <w:p w14:paraId="3F41DC4C">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《儿童肥胖》</w:t>
            </w:r>
          </w:p>
          <w:p w14:paraId="6798F824">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《儿童抽动障碍的识别及规范化管理》</w:t>
            </w:r>
          </w:p>
          <w:p w14:paraId="2DE4F2EB">
            <w:pPr>
              <w:spacing w:line="240" w:lineRule="auto"/>
              <w:jc w:val="both"/>
              <w:rPr>
                <w:rFonts w:hint="eastAsia"/>
                <w:sz w:val="28"/>
                <w:szCs w:val="28"/>
                <w:vertAlign w:val="baseline"/>
                <w:lang w:val="en-US" w:eastAsia="zh-CN"/>
              </w:rPr>
            </w:pPr>
            <w:r>
              <w:rPr>
                <w:rFonts w:hint="eastAsia"/>
                <w:sz w:val="28"/>
                <w:szCs w:val="28"/>
                <w:vertAlign w:val="baseline"/>
                <w:lang w:val="en-US" w:eastAsia="zh-CN"/>
              </w:rPr>
              <w:t>《慢阻肺及其合并症》</w:t>
            </w:r>
          </w:p>
          <w:p w14:paraId="4CE2017D">
            <w:pPr>
              <w:spacing w:line="240" w:lineRule="auto"/>
              <w:jc w:val="both"/>
              <w:rPr>
                <w:rFonts w:hint="eastAsia"/>
                <w:sz w:val="28"/>
                <w:szCs w:val="28"/>
                <w:vertAlign w:val="baseline"/>
                <w:rtl w:val="0"/>
                <w:lang w:val="en-US" w:eastAsia="zh-CN"/>
              </w:rPr>
            </w:pPr>
            <w:r>
              <w:rPr>
                <w:rFonts w:hint="eastAsia"/>
                <w:sz w:val="28"/>
                <w:szCs w:val="28"/>
                <w:vertAlign w:val="baseline"/>
                <w:rtl w:val="0"/>
                <w:lang w:val="en-US" w:eastAsia="zh-CN"/>
              </w:rPr>
              <w:t>《理想血压 健康长寿》</w:t>
            </w:r>
          </w:p>
          <w:p w14:paraId="4697D88E">
            <w:pPr>
              <w:spacing w:line="240" w:lineRule="auto"/>
              <w:jc w:val="both"/>
              <w:rPr>
                <w:rFonts w:hint="eastAsia"/>
                <w:sz w:val="28"/>
                <w:szCs w:val="28"/>
                <w:vertAlign w:val="baseline"/>
                <w:rtl w:val="0"/>
                <w:lang w:val="zh-TW" w:eastAsia="zh-CN"/>
              </w:rPr>
            </w:pPr>
            <w:r>
              <w:rPr>
                <w:rFonts w:hint="eastAsia"/>
                <w:sz w:val="28"/>
                <w:szCs w:val="28"/>
                <w:vertAlign w:val="baseline"/>
                <w:lang w:val="en-US" w:eastAsia="zh-CN"/>
              </w:rPr>
              <w:t>《</w:t>
            </w:r>
            <w:r>
              <w:rPr>
                <w:rFonts w:hint="eastAsia"/>
                <w:sz w:val="28"/>
                <w:szCs w:val="28"/>
                <w:vertAlign w:val="baseline"/>
                <w:rtl w:val="0"/>
                <w:lang w:val="zh-TW" w:eastAsia="zh-TW"/>
              </w:rPr>
              <w:t>脑血管病的预防和治疗</w:t>
            </w:r>
            <w:r>
              <w:rPr>
                <w:rFonts w:hint="eastAsia"/>
                <w:sz w:val="28"/>
                <w:szCs w:val="28"/>
                <w:vertAlign w:val="baseline"/>
                <w:rtl w:val="0"/>
                <w:lang w:val="zh-TW" w:eastAsia="zh-CN"/>
              </w:rPr>
              <w:t>》</w:t>
            </w:r>
          </w:p>
          <w:p w14:paraId="6690F4E9">
            <w:pPr>
              <w:spacing w:line="240" w:lineRule="auto"/>
              <w:jc w:val="both"/>
              <w:rPr>
                <w:rFonts w:hint="eastAsia" w:ascii="Times New Roman" w:hAnsi="Times New Roman"/>
                <w:color w:val="auto"/>
                <w:sz w:val="28"/>
                <w:szCs w:val="28"/>
                <w:rtl w:val="0"/>
                <w:lang w:val="en-US" w:eastAsia="zh-CN"/>
              </w:rPr>
            </w:pPr>
            <w:r>
              <w:rPr>
                <w:rFonts w:hint="eastAsia"/>
                <w:sz w:val="28"/>
                <w:szCs w:val="28"/>
                <w:vertAlign w:val="baseline"/>
                <w:lang w:val="en-US" w:eastAsia="zh-CN"/>
              </w:rPr>
              <w:t>《糖尿病患者的生活管理》</w:t>
            </w:r>
          </w:p>
        </w:tc>
        <w:tc>
          <w:tcPr>
            <w:tcW w:w="635" w:type="pct"/>
            <w:vAlign w:val="center"/>
          </w:tcPr>
          <w:p w14:paraId="1C0041AC">
            <w:pPr>
              <w:spacing w:line="240" w:lineRule="auto"/>
              <w:jc w:val="center"/>
              <w:rPr>
                <w:rFonts w:hint="eastAsia"/>
                <w:sz w:val="28"/>
                <w:szCs w:val="28"/>
                <w:vertAlign w:val="baseline"/>
                <w:lang w:val="en-US" w:eastAsia="zh-CN"/>
              </w:rPr>
            </w:pPr>
            <w:r>
              <w:rPr>
                <w:rFonts w:hint="eastAsia"/>
                <w:sz w:val="28"/>
                <w:szCs w:val="28"/>
                <w:vertAlign w:val="baseline"/>
                <w:lang w:val="en-US" w:eastAsia="zh-CN"/>
              </w:rPr>
              <w:t>内乡县</w:t>
            </w:r>
          </w:p>
        </w:tc>
      </w:tr>
      <w:tr w14:paraId="56AB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pct"/>
            <w:vAlign w:val="center"/>
          </w:tcPr>
          <w:p w14:paraId="4F38C6F2">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2</w:t>
            </w:r>
          </w:p>
        </w:tc>
        <w:tc>
          <w:tcPr>
            <w:tcW w:w="898" w:type="pct"/>
            <w:vAlign w:val="center"/>
          </w:tcPr>
          <w:p w14:paraId="1920FD54">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2025.9.23</w:t>
            </w:r>
          </w:p>
        </w:tc>
        <w:tc>
          <w:tcPr>
            <w:tcW w:w="2996" w:type="pct"/>
            <w:vAlign w:val="center"/>
          </w:tcPr>
          <w:p w14:paraId="7EACF5CF">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《关爱女性 护佑健康》</w:t>
            </w:r>
          </w:p>
          <w:p w14:paraId="17433AE6">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《内分泌慢病知多少》</w:t>
            </w:r>
          </w:p>
          <w:p w14:paraId="30AB3DC2">
            <w:pPr>
              <w:spacing w:line="240" w:lineRule="auto"/>
              <w:jc w:val="both"/>
              <w:rPr>
                <w:rFonts w:hint="default"/>
                <w:sz w:val="28"/>
                <w:szCs w:val="28"/>
                <w:vertAlign w:val="baseline"/>
                <w:lang w:val="en-US" w:eastAsia="zh-CN"/>
              </w:rPr>
            </w:pPr>
            <w:r>
              <w:rPr>
                <w:rFonts w:hint="eastAsia"/>
                <w:sz w:val="28"/>
                <w:szCs w:val="28"/>
                <w:vertAlign w:val="baseline"/>
                <w:lang w:val="en-US" w:eastAsia="zh-CN"/>
              </w:rPr>
              <w:t>《急性胸痛的鉴别诊断和处理》</w:t>
            </w:r>
          </w:p>
        </w:tc>
        <w:tc>
          <w:tcPr>
            <w:tcW w:w="635" w:type="pct"/>
            <w:vAlign w:val="center"/>
          </w:tcPr>
          <w:p w14:paraId="3B588E84">
            <w:pPr>
              <w:spacing w:line="240" w:lineRule="auto"/>
              <w:jc w:val="center"/>
              <w:rPr>
                <w:rFonts w:hint="eastAsia"/>
                <w:sz w:val="28"/>
                <w:szCs w:val="28"/>
                <w:vertAlign w:val="baseline"/>
                <w:lang w:val="en-US" w:eastAsia="zh-CN"/>
              </w:rPr>
            </w:pPr>
            <w:r>
              <w:rPr>
                <w:rFonts w:hint="eastAsia"/>
                <w:sz w:val="28"/>
                <w:szCs w:val="28"/>
                <w:vertAlign w:val="baseline"/>
                <w:lang w:val="en-US" w:eastAsia="zh-CN"/>
              </w:rPr>
              <w:t>内乡县</w:t>
            </w:r>
          </w:p>
        </w:tc>
      </w:tr>
      <w:tr w14:paraId="4320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8" w:type="pct"/>
            <w:vAlign w:val="center"/>
          </w:tcPr>
          <w:p w14:paraId="338C0118">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3</w:t>
            </w:r>
          </w:p>
        </w:tc>
        <w:tc>
          <w:tcPr>
            <w:tcW w:w="898" w:type="pct"/>
            <w:vAlign w:val="center"/>
          </w:tcPr>
          <w:p w14:paraId="181EA2C9">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2025.10.30</w:t>
            </w:r>
          </w:p>
        </w:tc>
        <w:tc>
          <w:tcPr>
            <w:tcW w:w="2996" w:type="pct"/>
            <w:vAlign w:val="center"/>
          </w:tcPr>
          <w:p w14:paraId="674BE6E4">
            <w:pPr>
              <w:spacing w:line="240" w:lineRule="auto"/>
              <w:jc w:val="both"/>
              <w:rPr>
                <w:rFonts w:hint="eastAsia"/>
                <w:sz w:val="28"/>
                <w:szCs w:val="28"/>
                <w:vertAlign w:val="baseline"/>
                <w:lang w:val="en-US" w:eastAsia="zh-CN"/>
              </w:rPr>
            </w:pPr>
            <w:r>
              <w:rPr>
                <w:rFonts w:hint="eastAsia"/>
                <w:sz w:val="28"/>
                <w:szCs w:val="28"/>
                <w:vertAlign w:val="baseline"/>
                <w:lang w:val="en-US" w:eastAsia="zh-CN"/>
              </w:rPr>
              <w:t>《青年卒中的病因识别》</w:t>
            </w:r>
          </w:p>
          <w:p w14:paraId="7DDFAE49">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《发热待查》</w:t>
            </w:r>
          </w:p>
          <w:p w14:paraId="4C87B7B0">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《儿童偏头疼》</w:t>
            </w:r>
          </w:p>
          <w:p w14:paraId="39ADBBF4">
            <w:pPr>
              <w:spacing w:line="240" w:lineRule="auto"/>
              <w:jc w:val="both"/>
              <w:rPr>
                <w:rFonts w:hint="eastAsia"/>
                <w:sz w:val="28"/>
                <w:szCs w:val="28"/>
                <w:vertAlign w:val="baseline"/>
                <w:lang w:val="en-US" w:eastAsia="zh-CN"/>
              </w:rPr>
            </w:pPr>
            <w:r>
              <w:rPr>
                <w:rFonts w:hint="eastAsia"/>
                <w:sz w:val="28"/>
                <w:szCs w:val="28"/>
                <w:vertAlign w:val="baseline"/>
                <w:lang w:val="en-US" w:eastAsia="zh-CN"/>
              </w:rPr>
              <w:t>《浅谈四高》</w:t>
            </w:r>
          </w:p>
          <w:p w14:paraId="6FBAE451">
            <w:pPr>
              <w:spacing w:line="240" w:lineRule="auto"/>
              <w:jc w:val="both"/>
              <w:rPr>
                <w:rFonts w:hint="eastAsia"/>
                <w:sz w:val="28"/>
                <w:szCs w:val="28"/>
                <w:vertAlign w:val="baseline"/>
                <w:lang w:val="en-US" w:eastAsia="zh-CN"/>
              </w:rPr>
            </w:pPr>
            <w:r>
              <w:rPr>
                <w:rFonts w:hint="eastAsia"/>
                <w:sz w:val="28"/>
                <w:szCs w:val="28"/>
                <w:vertAlign w:val="baseline"/>
                <w:lang w:val="en-US" w:eastAsia="zh-CN"/>
              </w:rPr>
              <w:t>《儿童严重过敏反应诊断和治疗》</w:t>
            </w:r>
          </w:p>
        </w:tc>
        <w:tc>
          <w:tcPr>
            <w:tcW w:w="635" w:type="pct"/>
            <w:vAlign w:val="center"/>
          </w:tcPr>
          <w:p w14:paraId="0922B7DC">
            <w:pPr>
              <w:spacing w:line="240" w:lineRule="auto"/>
              <w:jc w:val="center"/>
              <w:rPr>
                <w:rFonts w:hint="eastAsia"/>
                <w:sz w:val="28"/>
                <w:szCs w:val="28"/>
                <w:vertAlign w:val="baseline"/>
                <w:lang w:val="en-US" w:eastAsia="zh-CN"/>
              </w:rPr>
            </w:pPr>
            <w:r>
              <w:rPr>
                <w:rFonts w:hint="eastAsia"/>
                <w:sz w:val="28"/>
                <w:szCs w:val="28"/>
                <w:vertAlign w:val="baseline"/>
                <w:lang w:val="en-US" w:eastAsia="zh-CN"/>
              </w:rPr>
              <w:t>邓州市</w:t>
            </w:r>
          </w:p>
        </w:tc>
      </w:tr>
    </w:tbl>
    <w:p w14:paraId="09E4EAA3">
      <w:pPr>
        <w:ind w:firstLine="562" w:firstLineChars="200"/>
        <w:rPr>
          <w:rFonts w:hint="eastAsia"/>
          <w:sz w:val="28"/>
          <w:szCs w:val="28"/>
          <w:lang w:val="en-US" w:eastAsia="zh-CN"/>
        </w:rPr>
      </w:pPr>
      <w:r>
        <w:rPr>
          <w:rFonts w:hint="eastAsia"/>
          <w:b/>
          <w:bCs/>
          <w:sz w:val="28"/>
          <w:szCs w:val="28"/>
          <w:lang w:eastAsia="zh-CN"/>
        </w:rPr>
        <w:t>政策依据：</w:t>
      </w:r>
      <w:r>
        <w:rPr>
          <w:rFonts w:hint="eastAsia"/>
          <w:sz w:val="28"/>
          <w:szCs w:val="28"/>
          <w:lang w:eastAsia="zh-CN"/>
        </w:rPr>
        <w:t>《关于开展</w:t>
      </w:r>
      <w:r>
        <w:rPr>
          <w:rFonts w:hint="eastAsia"/>
          <w:sz w:val="28"/>
          <w:szCs w:val="28"/>
          <w:lang w:val="en-US" w:eastAsia="zh-CN"/>
        </w:rPr>
        <w:t>2025年“健康南阳行·大医献爱心”志愿服务专项行动和健康促进“三进两建一帮扶行动的通知》（宛卫宣传函〔2025〕4号）</w:t>
      </w:r>
    </w:p>
    <w:p w14:paraId="12A492E5">
      <w:pPr>
        <w:rPr>
          <w:rFonts w:hint="eastAsia"/>
          <w:sz w:val="28"/>
          <w:szCs w:val="28"/>
          <w:lang w:val="en-US" w:eastAsia="zh-CN"/>
        </w:rPr>
      </w:pPr>
      <w:r>
        <w:rPr>
          <w:rFonts w:hint="eastAsia"/>
          <w:sz w:val="28"/>
          <w:szCs w:val="28"/>
          <w:lang w:val="en-US" w:eastAsia="zh-CN"/>
        </w:rPr>
        <w:br w:type="page"/>
      </w:r>
    </w:p>
    <w:p w14:paraId="1F7426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南阳市中心医院</w:t>
      </w:r>
    </w:p>
    <w:p w14:paraId="4FE20D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健康教育和健康促进工作</w:t>
      </w:r>
      <w:r>
        <w:rPr>
          <w:rFonts w:hint="eastAsia" w:ascii="方正小标宋简体" w:hAnsi="方正小标宋简体" w:eastAsia="方正小标宋简体" w:cs="方正小标宋简体"/>
          <w:sz w:val="44"/>
          <w:szCs w:val="44"/>
          <w:lang w:val="en-US" w:eastAsia="zh-CN"/>
        </w:rPr>
        <w:t>方案</w:t>
      </w:r>
    </w:p>
    <w:p w14:paraId="7636851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28"/>
          <w:szCs w:val="28"/>
          <w:lang w:val="en-US" w:eastAsia="zh-CN"/>
        </w:rPr>
      </w:pPr>
    </w:p>
    <w:p w14:paraId="7BB925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我国近年来慢性病井喷式增长、不健康生活方式广泛流行的形势，坚持贯彻以群众健康为需求的导向，持续推进从“以疾病治疗为中心”到“以健康促进为中心”的转变，促进医院健康教育与健康促进全面融入预防、医疗、康复等医疗卫生服务全程，进一步提高医护质量，发挥医务人员维护和促进健康的主力军作用，结合医院工作实际制定本方案。</w:t>
      </w:r>
    </w:p>
    <w:p w14:paraId="1AC55A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一、指导思想</w:t>
      </w:r>
    </w:p>
    <w:p w14:paraId="688E1F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贯彻落实党的二十大精神，以全民健康和谐为宗旨，传播健康知识，落实干预措施，强化公共服务，通过大力倡导健康理念、优化医疗服务模式，全面展开“健康促进医院”建设，营造健康有益的医疗环境和生活环境，传播健康相关信息，倡导科学文明健康的生产生活方式，不断提升全民健康素质和生活品质，继续深入开展“主题教育”学习活动，努力为人民群众健康服务，树立医院为民服务的良好社会形象。</w:t>
      </w:r>
    </w:p>
    <w:p w14:paraId="1874EC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二、工作目标</w:t>
      </w:r>
    </w:p>
    <w:p w14:paraId="584F4F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开展健康教育和健康促进工作，积极探索、不断完善健康促进医院管理体制、运行机制、策略措施和技术方法。促进医院发挥其在全民健康教育与健康促进工作中的“主阵地”和“主渠道”作用，坚持预防为主，积极适应并推动医学模式转变，重视并大力推进医院健康促进工作。</w:t>
      </w:r>
    </w:p>
    <w:p w14:paraId="12E4F9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三、组织机构及职责</w:t>
      </w:r>
    </w:p>
    <w:p w14:paraId="511903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（一）成立健康教育和健康促进领导小组，</w:t>
      </w:r>
      <w:r>
        <w:rPr>
          <w:rFonts w:hint="eastAsia" w:ascii="仿宋_GB2312" w:hAnsi="仿宋_GB2312" w:eastAsia="仿宋_GB2312" w:cs="仿宋_GB2312"/>
          <w:color w:val="auto"/>
          <w:sz w:val="32"/>
          <w:szCs w:val="32"/>
          <w:lang w:val="en-US" w:eastAsia="zh-CN"/>
        </w:rPr>
        <w:t>领导小组下设办公室，办公室设在公共卫生科，公共卫生科在医院健康教育和健康促进领导小组的领导下牵头负责健康教育和健康促进工作。由公共卫生科专职人员负责健康教育和健康促进的组织管理和技术指导。</w:t>
      </w:r>
    </w:p>
    <w:p w14:paraId="7DA7D5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（二）健康教育和健康促进领导小组职责</w:t>
      </w:r>
    </w:p>
    <w:p w14:paraId="7C5408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1.领导、规划、组织、协调全院健康教育工作，将建设健康促进医院纳入医院目标责任考核、医院发展规划和服务宗旨，与职称晋升和评先评优挂钩。</w:t>
      </w:r>
    </w:p>
    <w:p w14:paraId="5077E9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健全建设健康促进医院工作制度（工作职责、工作规范、考核标准、奖惩措施等），负责本单位健康教育促进和控烟工作计划、组织、实施、监督检查工作落实情况；负责制定本单位健康教育总体计划、实施方案，对各科室进行健康教育业务工作指导，负责收集资料，提供信息，做好过程与效果评价，年度总结，并接受当地和上级健康教育专业机构的业务指导。</w:t>
      </w:r>
    </w:p>
    <w:p w14:paraId="27BD05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3.落实健康促进和健康教育工作经费，设置健康教育科室，配齐健康教育专、兼职人员和满足日常工作需要的健康教育工作设备，保证健康教育工作能够顺利开展。</w:t>
      </w:r>
    </w:p>
    <w:p w14:paraId="18EF65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4.健康教育和健康促进领导小组对医院健康促进工作进行全面考核评估，并按照考核评估结果实行奖惩，并提出指导意见。</w:t>
      </w:r>
    </w:p>
    <w:p w14:paraId="1CA6B5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5.传达上级部门文件和精神，协调配合上级部门完成有关工作任务。</w:t>
      </w:r>
    </w:p>
    <w:p w14:paraId="564C03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（三）各职能部门职责</w:t>
      </w:r>
    </w:p>
    <w:p w14:paraId="770659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1、各相关部门在院健康教育和健康促进领导小组领导下，要负责督促本部门及所属科室健康教育各项制度的落实和执行情况。</w:t>
      </w:r>
    </w:p>
    <w:p w14:paraId="4B07E0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2、认真组织全院医务人员参加健康教育培训和各种健康教育活动。</w:t>
      </w:r>
    </w:p>
    <w:p w14:paraId="28CC3B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3、为临床和相关科室提供有关信息和健康教育处方。</w:t>
      </w:r>
    </w:p>
    <w:p w14:paraId="3A2580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4、督促检查各科健康教育宣传栏和院内固定宣传栏的更换。</w:t>
      </w:r>
    </w:p>
    <w:p w14:paraId="4EF995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5、收集资料，做好总结和评价，按年度分类整理，促进健康教育工作的开展。</w:t>
      </w:r>
    </w:p>
    <w:p w14:paraId="7541D7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6、积极参加健康教育领导小组会议，及时通报在健教活动中存在的问题，提出改进措施，坚持持续改进迎接上级各级领导督导。</w:t>
      </w:r>
    </w:p>
    <w:p w14:paraId="1ED27E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四、健康教育和健康促进实施细则</w:t>
      </w:r>
    </w:p>
    <w:p w14:paraId="01A997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制定健康教育和健康促进工作的长期规划和年度计划；健全、完善医院健康教育与健康促进管理制度；医院健康教育与健康促进工作纳入医院年度计划，保证足够的年度“健康促进”工作经费预算开展健康促进活动。具体实施方案内容如下：</w:t>
      </w:r>
    </w:p>
    <w:p w14:paraId="6E4562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（一）健康环境</w:t>
      </w:r>
    </w:p>
    <w:p w14:paraId="08C0AC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1．诊疗环境。建设安全、适宜的诊疗和就医环境，建筑、设备与设施、卫生、垃圾分类与无害化处理等符合国家标准。</w:t>
      </w:r>
    </w:p>
    <w:p w14:paraId="1635DD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（1）院内生活垃圾和医疗废物分类收集，医疗废物标识清晰，收集、放置和转运合理，符合院感规定。</w:t>
      </w:r>
    </w:p>
    <w:p w14:paraId="268A46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（2）候诊区提供与就诊人数相匹配的等候诊座椅，为患者提供安全、私密的就诊环境。</w:t>
      </w:r>
    </w:p>
    <w:p w14:paraId="1809E1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（3）提供病人、家属公用洗手设施、流水洗手。</w:t>
      </w:r>
    </w:p>
    <w:p w14:paraId="500F04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（4）各类公用设施落实清洁、消毒措施。</w:t>
      </w:r>
    </w:p>
    <w:p w14:paraId="1009F8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（5）设置停车场，车辆停放整齐，通道畅通，管理有序。</w:t>
      </w:r>
    </w:p>
    <w:p w14:paraId="73C293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（6）室内候诊区及医务人员办公区整齐干净，就诊有秩序，重点场所如病房、水房、厕所等切实做到无异味，</w:t>
      </w:r>
    </w:p>
    <w:p w14:paraId="6B0F16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无卫生死角和安全隐患。</w:t>
      </w:r>
    </w:p>
    <w:p w14:paraId="09D94F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2．人文环境。宣传、倡导与履行文明、礼貌、温馨、关爱的医疗行为规范，营造良好的医患关系；</w:t>
      </w:r>
    </w:p>
    <w:p w14:paraId="0C0A4A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（1）医务人员对待患者和蔼可亲，使用文明礼貌用语。</w:t>
      </w:r>
    </w:p>
    <w:p w14:paraId="35BDC0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（2）根据病人的文化背景、年龄、饮食习惯、社会状</w:t>
      </w:r>
    </w:p>
    <w:p w14:paraId="765B5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况、身体残疾情况等方面的不同需求，提供人性化的设施或优先服务。</w:t>
      </w:r>
    </w:p>
    <w:p w14:paraId="486498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（3）医院设置咨询台，设置导医标识，方便患者就诊。</w:t>
      </w:r>
    </w:p>
    <w:p w14:paraId="5A9C16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（4）加强医院食堂的管理，确保医院职工及患者的食品安全卫生。</w:t>
      </w:r>
    </w:p>
    <w:p w14:paraId="707B12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（二）无烟医院建设</w:t>
      </w:r>
    </w:p>
    <w:p w14:paraId="4DE32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无烟卫生计生机构标准和评分标准（附件2），严格执行无烟医院规章制度，在医院控烟工作领导小组领导下，制定有关控烟的规章制度，奖惩办法，开展以控烟为主题的宣传活动，如讲座、咨询等。医院所有区域有明显的禁烟标识，达到医院室内完全禁烟，所有室内场所没有烟头，没有吸烟者，本院职工带头控烟。开展戒烟服务和咨询，并对有些吸烟者进行简短地戒烟干预并做好记录。</w:t>
      </w:r>
    </w:p>
    <w:p w14:paraId="6D14A2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（三）提高患者、家属和社区居民、学校、乡村及医护人员健康促进的知识与技能</w:t>
      </w:r>
    </w:p>
    <w:p w14:paraId="70F87D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在院内健康宣教室和候诊区域，利用橱窗、内部电视、视频、宣传手册、电子显示屏和网络等形式，在不影响正常诊疗秩序、患者就医和住院治疗的情况下，开展健康保健和疾病防治知识传播。</w:t>
      </w:r>
    </w:p>
    <w:p w14:paraId="71E6C6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院内患者健康教育。在患者接诊、入院、出院、随访等诊疗过程中，结合患者所患疾病，通过评估与咨询，提供个性化的、易于理解的、适宜的疾病影响因素与健康指导信息，向患者及家属传授疾病预防、治疗、康复、保健和健康生活方式知识和技能，并确保病人出院后健康促进服务能延伸到社区其他机构或组织。</w:t>
      </w:r>
    </w:p>
    <w:p w14:paraId="066AC7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区健康促进与合作。医院定期组织向社会开放的健康课堂和专题健康讲座；通过义诊活动开展社区健康教育；通过大众传媒对公众开展健康知识和技能传播；积极开展与社区其他机构的合作，拓展健康促进活动。</w:t>
      </w:r>
    </w:p>
    <w:p w14:paraId="79F988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3.医护人员健康促进。医院定期组织由医护人员参加的自我保健、生活方式倡导、心理调适和健康管理等方面的健康促进活动。</w:t>
      </w:r>
    </w:p>
    <w:p w14:paraId="201C67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b/>
          <w:bCs/>
          <w:color w:val="auto"/>
          <w:sz w:val="32"/>
          <w:szCs w:val="32"/>
          <w:lang w:val="en-US" w:eastAsia="zh-CN"/>
        </w:rPr>
        <w:t>四）定期组织到学校、社区、乡村进行健康教育科普宣传和义诊活动，不断提高群众的健康素养水平</w:t>
      </w:r>
    </w:p>
    <w:p w14:paraId="19B0D2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（五）提供全生命周期的健康服务</w:t>
      </w:r>
    </w:p>
    <w:p w14:paraId="3FBB7B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儿童健康管理中心与健康管理中心依靠“1+X”的健康体系方案、重要异常结果预警体系、医疗质量控制层层把关，为儿童和成年人提供全方位全生命周期的健康管理服务。</w:t>
      </w:r>
    </w:p>
    <w:p w14:paraId="0BE383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（六）特色健康教育与健康促进活动。</w:t>
      </w:r>
    </w:p>
    <w:p w14:paraId="207C49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医院根据自身专业优势、工作特点、现代新媒体技术，针对孕产妇、儿童、老年人、流动人口、企业员工等特定人群开展创新型或特色的健康促进与健康管理服务。</w:t>
      </w:r>
    </w:p>
    <w:p w14:paraId="09317B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（七）加强慢病管理</w:t>
      </w:r>
    </w:p>
    <w:p w14:paraId="033E00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院市级脑卒中防治中心、高血压防治中心、慢阻肺防治中心、糖尿病防治中心、肺结节筛查中心，掌握定点慢病的发病死亡情况，分析评价重点慢性病的发生、流行、预防控制效果，为制定相应预防控制策略提供科学依据，开展慢性病综合监测工作。</w:t>
      </w:r>
    </w:p>
    <w:p w14:paraId="50284D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（八）持续开展健康促进“321”行动</w:t>
      </w:r>
    </w:p>
    <w:p w14:paraId="629E7F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进”是健康教育进乡村、进家庭、进学校，“2建”一是进一步加强阵地建设，二是进一步加强队伍建设，“1帮扶”是按照医疗机构与县区结对帮扶工作要求，完成省规定的5项任务，完成各项帮扶工作任务。“健康南阳行、大医献爱心”乡村振兴志愿服务专项行动。</w:t>
      </w:r>
    </w:p>
    <w:p w14:paraId="45F57DAC">
      <w:pPr>
        <w:rPr>
          <w:rFonts w:hint="default"/>
          <w:sz w:val="28"/>
          <w:szCs w:val="28"/>
          <w:lang w:val="en-US" w:eastAsia="zh-CN"/>
        </w:rPr>
      </w:pPr>
      <w:r>
        <w:rPr>
          <w:rFonts w:hint="default"/>
          <w:sz w:val="28"/>
          <w:szCs w:val="28"/>
          <w:lang w:val="en-US" w:eastAsia="zh-CN"/>
        </w:rPr>
        <w:br w:type="page"/>
      </w:r>
    </w:p>
    <w:p w14:paraId="5EF508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w:t>
      </w:r>
    </w:p>
    <w:p w14:paraId="2AAA77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健康教育与健康促进工作计划</w:t>
      </w:r>
    </w:p>
    <w:p w14:paraId="15D397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lang w:val="en-US" w:eastAsia="zh-CN"/>
        </w:rPr>
      </w:pPr>
    </w:p>
    <w:p w14:paraId="506280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一、加强组织建设，加强医院健康科普队伍建设</w:t>
      </w:r>
    </w:p>
    <w:p w14:paraId="3CAE0F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认真落实健康中国战略部署，把疾病预防放在首位，成立以书记、院长为组长的医院健康促进与健康教育领导小组。制定健康教育与健康促进实施方案和工作计划。2023年底，医院健康科普专家库储备专家达到600人，并分别组织培训，不断开展形式多样健康教育活动。</w:t>
      </w:r>
    </w:p>
    <w:p w14:paraId="78EFAE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持续开展健康促进“321”活动，与“健康南阳行·大医献爱心”乡村志愿服务专项行动结合，每季度至少进行一次科普和义诊活动。</w:t>
      </w:r>
    </w:p>
    <w:p w14:paraId="635917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开展健康教育进社区、进学校活动，每月至少开展一次健康教育进学校或进社区活动。</w:t>
      </w:r>
    </w:p>
    <w:p w14:paraId="5A9652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四、加强院内健康教育和宣传</w:t>
      </w:r>
    </w:p>
    <w:p w14:paraId="47C4AA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（一）利用各种活动月，如：5月31日世界戒烟日开展健康教育和义诊活动，并发放健康折页和开展咨询活动。</w:t>
      </w:r>
    </w:p>
    <w:p w14:paraId="3A90BC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（二）院内健康宣教室每月组织健康教育大讲堂活动。</w:t>
      </w:r>
    </w:p>
    <w:p w14:paraId="67CF93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（三）院内和家属院内健康宣传栏每2个月更新一期，内容为季节性疾病预防、慢性病、传染病、急救、控烟等群众喜闻乐见的。</w:t>
      </w:r>
    </w:p>
    <w:p w14:paraId="11C96A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（四）医生和护士对病人进行健康教育和随访活动。</w:t>
      </w:r>
    </w:p>
    <w:p w14:paraId="5FF55E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五、加强慢性病防治建设</w:t>
      </w:r>
    </w:p>
    <w:p w14:paraId="4E0073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院市级的脑卒中防治中心、高血压防治中心、慢阻肺防治中心、糖尿病防治心中、肺结节筛查中心通过建立全市各县市区的防治中心网络，通过提前筛查，多形式、多渠道科普、咨询和义诊等活动，分析评价重点慢性病的发生、流行、预防控制效果和工作现状，为制定相应预防控制策略提供科学依据，各中心每年完成上级部门安排的筛查任务，持续高质量</w:t>
      </w:r>
      <w:r>
        <w:rPr>
          <w:rFonts w:hint="eastAsia" w:ascii="仿宋_GB2312" w:hAnsi="仿宋_GB2312" w:eastAsia="仿宋_GB2312" w:cs="仿宋_GB2312"/>
          <w:color w:val="auto"/>
          <w:sz w:val="32"/>
          <w:szCs w:val="32"/>
          <w:lang w:val="en-US" w:eastAsia="zh-CN"/>
        </w:rPr>
        <w:t>地</w:t>
      </w:r>
      <w:r>
        <w:rPr>
          <w:rFonts w:hint="default" w:ascii="仿宋_GB2312" w:hAnsi="仿宋_GB2312" w:eastAsia="仿宋_GB2312" w:cs="仿宋_GB2312"/>
          <w:color w:val="auto"/>
          <w:sz w:val="32"/>
          <w:szCs w:val="32"/>
          <w:lang w:val="en-US" w:eastAsia="zh-CN"/>
        </w:rPr>
        <w:t>开展慢性病综合监测工作，不断完善各中心网络建设，死因、心脑血管、肿瘤病例监测上报符合国家要求。</w:t>
      </w:r>
    </w:p>
    <w:p w14:paraId="00B257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六、儿童健康管理中心，健康管理中心通过体检和提前干预为前来体检的人员提供健康体检、健康干预、健康促进、健康管理，全方位、全周期的健康服务。</w:t>
      </w:r>
    </w:p>
    <w:p w14:paraId="59DF9E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25E5"/>
    <w:rsid w:val="0AB04140"/>
    <w:rsid w:val="0D4C1EEC"/>
    <w:rsid w:val="1C6B4A8D"/>
    <w:rsid w:val="35794F0A"/>
    <w:rsid w:val="4E5C7A8F"/>
    <w:rsid w:val="672E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270</Words>
  <Characters>304</Characters>
  <Lines>0</Lines>
  <Paragraphs>0</Paragraphs>
  <TotalTime>0</TotalTime>
  <ScaleCrop>false</ScaleCrop>
  <LinksUpToDate>false</LinksUpToDate>
  <CharactersWithSpaces>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2025-02-07T00:34:00Z</dcterms:created>
  <dc:creator>Administrator</dc:creator>
  <cp:lastModifiedBy>瑾错余生</cp:lastModifiedBy>
  <dcterms:modified xsi:type="dcterms:W3CDTF">2025-11-15T04:47:38Z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837FA1DC3C144D629060B44D1ED02758_12</vt:lpwstr>
  </property>
  <property fmtid="{D5CDD505-2E9C-101B-9397-08002B2CF9AE}" pid="4" name="KSOTemplateDocerSaveRecord">
    <vt:lpwstr>eyJoZGlkIjoiYzhiNjlkMmM3MmJkMDk5Yzc0NzlmZWFiNjNkNTg2NTgiLCJ1c2VySWQiOiIzODQwMjU3MzUifQ==</vt:lpwstr>
  </property>
</Properties>
</file>