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河南省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南阳市中心医院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南阳市妇幼保健院 儿童医院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病理科简介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南阳市中心医院病理科承担全院临床病理诊断及病理科研教学工作，同时承担南阳市及周边地区病理外检及会诊工作，科室设立于1970年，经过几代人的努力，科室建设已具有规模。近年来，随着卫生部、省厅对病理科建设实施办法的出台，以及我院领导的重视，科室建设得到快速发展，已向区域性病理诊断、教学和科研中心迈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科室现有高级职称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人，中级职称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人，初级职称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人，其中研究生学历1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人，初步形成了人才梯队，具有较强的诊断、科研和教学力量。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科室重视引进新技术开发新业务，强调科研与实际工作相结合，积极围绕临床需要开展工作，科室设置满足医院功能任务需要，服务项目符合临床工作需求。拥有环保取材台、全自动脱水机、恒温包埋机、徕卡切片机、冰冻切片机、恒温漂片机、液基细胞制片机、全自动免疫组化染色机、荧光显微镜、图文报告系统等大型、精密医疗设备。目前开展了常规病理检查、病理细胞学检查、冰切切片检查、特殊染色、免疫组织化学检查、分子病理学检查等项目，每年常规组织学报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5000余例，病理细胞学报告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0000余例，术中快速冰冻报告2000余例，免疫组化报告1000余例，外院病理会诊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00余人次，工作总量是市内几家三级医院数量的总和，取得了良好的经济效益和社会效益，有力的支持了临床诊疗工作。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病理诊断是医院医疗服务中的一个重要环节，在现有的医疗技术条件下，是医学诊断中的“金标准”，关系到整个医院的医疗质量。病理科将秉承“自强不息，止于至善”之宗旨，发扬“团结敬业，求实创新”的精神，以“博爱至仁之德，精益求精之术”服于豫西南广大人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</w:p>
    <w:tbl>
      <w:tblPr>
        <w:tblStyle w:val="5"/>
        <w:tblW w:w="9744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9"/>
        <w:gridCol w:w="44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9744" w:type="dxa"/>
            <w:gridSpan w:val="2"/>
            <w:vAlign w:val="top"/>
          </w:tcPr>
          <w:p>
            <w:pPr>
              <w:pStyle w:val="4"/>
              <w:spacing w:before="158" w:line="226" w:lineRule="auto"/>
              <w:ind w:left="3927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病理检验项目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9744" w:type="dxa"/>
            <w:gridSpan w:val="2"/>
            <w:vAlign w:val="top"/>
          </w:tcPr>
          <w:p>
            <w:pPr>
              <w:pStyle w:val="4"/>
              <w:spacing w:before="37" w:line="207" w:lineRule="auto"/>
              <w:ind w:left="4163"/>
            </w:pPr>
            <w:r>
              <w:rPr>
                <w:b/>
                <w:bCs/>
                <w:spacing w:val="-5"/>
              </w:rPr>
              <w:t>诊疗技术名称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5299" w:type="dxa"/>
            <w:vAlign w:val="top"/>
          </w:tcPr>
          <w:p>
            <w:pPr>
              <w:pStyle w:val="4"/>
              <w:spacing w:before="38" w:line="207" w:lineRule="auto"/>
              <w:ind w:left="125"/>
            </w:pPr>
            <w:r>
              <w:rPr>
                <w:spacing w:val="-2"/>
              </w:rPr>
              <w:t>病理检查：一、大标本</w:t>
            </w:r>
          </w:p>
        </w:tc>
        <w:tc>
          <w:tcPr>
            <w:tcW w:w="4445" w:type="dxa"/>
            <w:vAlign w:val="top"/>
          </w:tcPr>
          <w:p>
            <w:pPr>
              <w:pStyle w:val="4"/>
              <w:spacing w:before="38" w:line="207" w:lineRule="auto"/>
              <w:ind w:left="34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5299" w:type="dxa"/>
            <w:vAlign w:val="top"/>
          </w:tcPr>
          <w:p>
            <w:pPr>
              <w:pStyle w:val="4"/>
              <w:spacing w:before="37" w:line="208" w:lineRule="auto"/>
              <w:ind w:left="131"/>
            </w:pPr>
            <w:r>
              <w:rPr>
                <w:spacing w:val="-4"/>
              </w:rPr>
              <w:t>二、活检小标本</w:t>
            </w:r>
          </w:p>
        </w:tc>
        <w:tc>
          <w:tcPr>
            <w:tcW w:w="4445" w:type="dxa"/>
            <w:vAlign w:val="top"/>
          </w:tcPr>
          <w:p>
            <w:pPr>
              <w:pStyle w:val="4"/>
              <w:spacing w:before="37" w:line="208" w:lineRule="auto"/>
              <w:ind w:left="34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5299" w:type="dxa"/>
            <w:vAlign w:val="top"/>
          </w:tcPr>
          <w:p>
            <w:pPr>
              <w:pStyle w:val="4"/>
              <w:spacing w:before="38" w:line="207" w:lineRule="auto"/>
              <w:ind w:left="134"/>
            </w:pPr>
            <w:r>
              <w:rPr>
                <w:spacing w:val="-5"/>
              </w:rPr>
              <w:t>1）穿刺标本</w:t>
            </w:r>
          </w:p>
        </w:tc>
        <w:tc>
          <w:tcPr>
            <w:tcW w:w="4445" w:type="dxa"/>
            <w:vAlign w:val="top"/>
          </w:tcPr>
          <w:p>
            <w:pPr>
              <w:pStyle w:val="4"/>
              <w:spacing w:before="38" w:line="207" w:lineRule="auto"/>
              <w:ind w:left="11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5299" w:type="dxa"/>
            <w:vAlign w:val="top"/>
          </w:tcPr>
          <w:p>
            <w:pPr>
              <w:pStyle w:val="4"/>
              <w:spacing w:before="37" w:line="207" w:lineRule="auto"/>
              <w:ind w:left="119"/>
            </w:pPr>
            <w:r>
              <w:rPr>
                <w:spacing w:val="-3"/>
              </w:rPr>
              <w:t>2）肠粘膜</w:t>
            </w:r>
          </w:p>
        </w:tc>
        <w:tc>
          <w:tcPr>
            <w:tcW w:w="4445" w:type="dxa"/>
            <w:vAlign w:val="top"/>
          </w:tcPr>
          <w:p>
            <w:pPr>
              <w:pStyle w:val="4"/>
              <w:spacing w:before="37" w:line="207" w:lineRule="auto"/>
              <w:ind w:left="34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5299" w:type="dxa"/>
            <w:vAlign w:val="top"/>
          </w:tcPr>
          <w:p>
            <w:pPr>
              <w:pStyle w:val="4"/>
              <w:spacing w:before="39" w:line="206" w:lineRule="auto"/>
              <w:ind w:left="121"/>
            </w:pPr>
            <w:r>
              <w:rPr>
                <w:spacing w:val="-3"/>
              </w:rPr>
              <w:t>3）食管粘膜</w:t>
            </w:r>
          </w:p>
        </w:tc>
        <w:tc>
          <w:tcPr>
            <w:tcW w:w="4445" w:type="dxa"/>
            <w:vAlign w:val="top"/>
          </w:tcPr>
          <w:p>
            <w:pPr>
              <w:pStyle w:val="4"/>
              <w:spacing w:before="39" w:line="206" w:lineRule="auto"/>
              <w:ind w:left="113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5299" w:type="dxa"/>
            <w:vAlign w:val="top"/>
          </w:tcPr>
          <w:p>
            <w:pPr>
              <w:pStyle w:val="4"/>
              <w:spacing w:before="41" w:line="205" w:lineRule="auto"/>
              <w:ind w:left="115"/>
            </w:pPr>
            <w:r>
              <w:rPr>
                <w:spacing w:val="-2"/>
              </w:rPr>
              <w:t>4）胃粘膜</w:t>
            </w:r>
          </w:p>
        </w:tc>
        <w:tc>
          <w:tcPr>
            <w:tcW w:w="4445" w:type="dxa"/>
            <w:vAlign w:val="top"/>
          </w:tcPr>
          <w:p>
            <w:pPr>
              <w:pStyle w:val="4"/>
              <w:spacing w:before="41" w:line="205" w:lineRule="auto"/>
              <w:ind w:left="35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5299" w:type="dxa"/>
            <w:vAlign w:val="top"/>
          </w:tcPr>
          <w:p>
            <w:pPr>
              <w:pStyle w:val="4"/>
              <w:spacing w:before="40" w:line="206" w:lineRule="auto"/>
              <w:ind w:left="118"/>
            </w:pPr>
            <w:r>
              <w:rPr>
                <w:spacing w:val="-2"/>
              </w:rPr>
              <w:t>6）骨髓穿刺</w:t>
            </w:r>
          </w:p>
        </w:tc>
        <w:tc>
          <w:tcPr>
            <w:tcW w:w="4445" w:type="dxa"/>
            <w:vAlign w:val="top"/>
          </w:tcPr>
          <w:p>
            <w:pPr>
              <w:pStyle w:val="4"/>
              <w:spacing w:before="40" w:line="206" w:lineRule="auto"/>
              <w:ind w:left="34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5299" w:type="dxa"/>
            <w:vAlign w:val="top"/>
          </w:tcPr>
          <w:p>
            <w:pPr>
              <w:pStyle w:val="4"/>
              <w:spacing w:before="41" w:line="205" w:lineRule="auto"/>
              <w:ind w:left="117"/>
            </w:pPr>
            <w:r>
              <w:rPr>
                <w:spacing w:val="-2"/>
              </w:rPr>
              <w:t>8）淋巴结穿刺</w:t>
            </w:r>
          </w:p>
        </w:tc>
        <w:tc>
          <w:tcPr>
            <w:tcW w:w="4445" w:type="dxa"/>
            <w:vAlign w:val="top"/>
          </w:tcPr>
          <w:p>
            <w:pPr>
              <w:pStyle w:val="4"/>
              <w:spacing w:before="41" w:line="205" w:lineRule="auto"/>
              <w:ind w:left="11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5299" w:type="dxa"/>
            <w:vAlign w:val="top"/>
          </w:tcPr>
          <w:p>
            <w:pPr>
              <w:pStyle w:val="4"/>
              <w:spacing w:before="40" w:line="206" w:lineRule="auto"/>
              <w:ind w:left="117"/>
            </w:pPr>
            <w:r>
              <w:rPr>
                <w:spacing w:val="-2"/>
              </w:rPr>
              <w:t>9）皮下组织穿刺</w:t>
            </w:r>
          </w:p>
        </w:tc>
        <w:tc>
          <w:tcPr>
            <w:tcW w:w="4445" w:type="dxa"/>
            <w:vAlign w:val="top"/>
          </w:tcPr>
          <w:p>
            <w:pPr>
              <w:pStyle w:val="4"/>
              <w:spacing w:before="40" w:line="206" w:lineRule="auto"/>
              <w:ind w:left="34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5299" w:type="dxa"/>
            <w:vAlign w:val="top"/>
          </w:tcPr>
          <w:p>
            <w:pPr>
              <w:pStyle w:val="4"/>
              <w:spacing w:before="40" w:line="206" w:lineRule="auto"/>
              <w:ind w:left="134"/>
            </w:pPr>
            <w:r>
              <w:rPr>
                <w:spacing w:val="-4"/>
              </w:rPr>
              <w:t>10）乳腺穿刺</w:t>
            </w:r>
          </w:p>
        </w:tc>
        <w:tc>
          <w:tcPr>
            <w:tcW w:w="4445" w:type="dxa"/>
            <w:vAlign w:val="top"/>
          </w:tcPr>
          <w:p>
            <w:pPr>
              <w:pStyle w:val="4"/>
              <w:spacing w:before="40" w:line="206" w:lineRule="auto"/>
              <w:ind w:left="11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5299" w:type="dxa"/>
            <w:shd w:val="clear" w:color="auto" w:fill="auto"/>
            <w:vAlign w:val="top"/>
          </w:tcPr>
          <w:p>
            <w:pPr>
              <w:pStyle w:val="4"/>
              <w:spacing w:before="40" w:line="206" w:lineRule="auto"/>
              <w:ind w:left="15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spacing w:val="-5"/>
                <w:lang w:val="en-US" w:eastAsia="zh-CN"/>
              </w:rPr>
              <w:t>三</w:t>
            </w:r>
            <w:r>
              <w:rPr>
                <w:spacing w:val="-5"/>
              </w:rPr>
              <w:t>.术中快速冰冻诊断</w:t>
            </w:r>
          </w:p>
        </w:tc>
        <w:tc>
          <w:tcPr>
            <w:tcW w:w="4445" w:type="dxa"/>
            <w:vAlign w:val="top"/>
          </w:tcPr>
          <w:p>
            <w:pPr>
              <w:pStyle w:val="4"/>
              <w:spacing w:before="41" w:line="205" w:lineRule="auto"/>
              <w:ind w:left="352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5299" w:type="dxa"/>
            <w:shd w:val="clear" w:color="auto" w:fill="auto"/>
            <w:vAlign w:val="top"/>
          </w:tcPr>
          <w:p>
            <w:pPr>
              <w:pStyle w:val="4"/>
              <w:spacing w:before="41" w:line="205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spacing w:val="-4"/>
                <w:lang w:val="en-US" w:eastAsia="zh-CN"/>
              </w:rPr>
              <w:t>四</w:t>
            </w:r>
            <w:r>
              <w:rPr>
                <w:spacing w:val="-4"/>
              </w:rPr>
              <w:t>.免疫组化</w:t>
            </w:r>
          </w:p>
        </w:tc>
        <w:tc>
          <w:tcPr>
            <w:tcW w:w="4445" w:type="dxa"/>
            <w:vAlign w:val="top"/>
          </w:tcPr>
          <w:p>
            <w:pPr>
              <w:pStyle w:val="4"/>
              <w:spacing w:before="40" w:line="206" w:lineRule="auto"/>
              <w:ind w:left="1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5299" w:type="dxa"/>
            <w:shd w:val="clear" w:color="auto" w:fill="auto"/>
            <w:vAlign w:val="top"/>
          </w:tcPr>
          <w:p>
            <w:pPr>
              <w:pStyle w:val="4"/>
              <w:spacing w:before="40" w:line="206" w:lineRule="auto"/>
              <w:ind w:left="12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>五</w:t>
            </w:r>
            <w:r>
              <w:rPr>
                <w:spacing w:val="-2"/>
              </w:rPr>
              <w:t>.特殊染色（组织化学）</w:t>
            </w:r>
          </w:p>
        </w:tc>
        <w:tc>
          <w:tcPr>
            <w:tcW w:w="4445" w:type="dxa"/>
            <w:vAlign w:val="top"/>
          </w:tcPr>
          <w:p>
            <w:pPr>
              <w:pStyle w:val="4"/>
              <w:spacing w:before="41" w:line="205" w:lineRule="auto"/>
              <w:ind w:left="24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5299" w:type="dxa"/>
            <w:shd w:val="clear" w:color="auto" w:fill="auto"/>
            <w:vAlign w:val="top"/>
          </w:tcPr>
          <w:p>
            <w:pPr>
              <w:pStyle w:val="4"/>
              <w:spacing w:before="40" w:line="222" w:lineRule="auto"/>
              <w:ind w:left="126" w:leftChars="0" w:right="104" w:rightChars="0" w:firstLine="2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>六</w:t>
            </w:r>
            <w:r>
              <w:rPr>
                <w:spacing w:val="-2"/>
              </w:rPr>
              <w:t>.体液细胞学检查与诊断：宫颈</w:t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TCT、宫颈细胞</w:t>
            </w:r>
            <w:r>
              <w:t xml:space="preserve"> </w:t>
            </w:r>
            <w:r>
              <w:rPr>
                <w:spacing w:val="-1"/>
              </w:rPr>
              <w:t>涂片、穿刺涂片、胸腹水脑脊液细胞检测与诊断</w:t>
            </w:r>
          </w:p>
        </w:tc>
        <w:tc>
          <w:tcPr>
            <w:tcW w:w="4445" w:type="dxa"/>
            <w:vAlign w:val="top"/>
          </w:tcPr>
          <w:p>
            <w:pPr>
              <w:pStyle w:val="4"/>
              <w:spacing w:before="81" w:line="174" w:lineRule="auto"/>
              <w:ind w:left="22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5299" w:type="dxa"/>
            <w:shd w:val="clear" w:color="auto" w:fill="auto"/>
            <w:vAlign w:val="top"/>
          </w:tcPr>
          <w:p>
            <w:pPr>
              <w:pStyle w:val="4"/>
              <w:spacing w:before="41" w:line="205" w:lineRule="auto"/>
              <w:ind w:left="12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>七</w:t>
            </w:r>
            <w:r>
              <w:rPr>
                <w:spacing w:val="-2"/>
              </w:rPr>
              <w:t>.疑难病理会诊</w:t>
            </w:r>
          </w:p>
        </w:tc>
        <w:tc>
          <w:tcPr>
            <w:tcW w:w="4445" w:type="dxa"/>
            <w:vAlign w:val="top"/>
          </w:tcPr>
          <w:p>
            <w:pPr>
              <w:pStyle w:val="4"/>
              <w:spacing w:before="240" w:line="179" w:lineRule="auto"/>
              <w:ind w:left="231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5299" w:type="dxa"/>
            <w:shd w:val="clear" w:color="auto" w:fill="auto"/>
            <w:vAlign w:val="top"/>
          </w:tcPr>
          <w:p>
            <w:pPr>
              <w:pStyle w:val="4"/>
              <w:spacing w:before="42" w:line="204" w:lineRule="auto"/>
              <w:ind w:left="13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>八</w:t>
            </w:r>
            <w:r>
              <w:rPr>
                <w:spacing w:val="-2"/>
              </w:rPr>
              <w:t>、病理学检查：荧光原位杂交（FISH）</w:t>
            </w:r>
          </w:p>
        </w:tc>
        <w:tc>
          <w:tcPr>
            <w:tcW w:w="4445" w:type="dxa"/>
            <w:vAlign w:val="top"/>
          </w:tcPr>
          <w:p>
            <w:pPr>
              <w:pStyle w:val="4"/>
              <w:spacing w:before="41" w:line="205" w:lineRule="auto"/>
              <w:ind w:left="11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5299" w:type="dxa"/>
            <w:shd w:val="clear" w:color="auto" w:fill="auto"/>
            <w:vAlign w:val="top"/>
          </w:tcPr>
          <w:p>
            <w:pPr>
              <w:pStyle w:val="4"/>
              <w:spacing w:before="41" w:line="205" w:lineRule="auto"/>
              <w:ind w:left="130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spacing w:val="-3"/>
                <w:lang w:val="en-US" w:eastAsia="zh-CN"/>
              </w:rPr>
              <w:t>九</w:t>
            </w:r>
            <w:r>
              <w:rPr>
                <w:spacing w:val="-3"/>
              </w:rPr>
              <w:t>、分子病理检查：</w:t>
            </w:r>
          </w:p>
        </w:tc>
        <w:tc>
          <w:tcPr>
            <w:tcW w:w="4445" w:type="dxa"/>
            <w:vAlign w:val="top"/>
          </w:tcPr>
          <w:p>
            <w:pPr>
              <w:pStyle w:val="4"/>
              <w:spacing w:before="42" w:line="204" w:lineRule="auto"/>
              <w:ind w:left="22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5299" w:type="dxa"/>
            <w:shd w:val="clear" w:color="auto" w:fill="auto"/>
            <w:vAlign w:val="top"/>
          </w:tcPr>
          <w:p>
            <w:pPr>
              <w:pStyle w:val="4"/>
              <w:spacing w:before="42" w:line="204" w:lineRule="auto"/>
              <w:ind w:left="13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人乳头瘤病毒检测（HPV）</w:t>
            </w:r>
          </w:p>
        </w:tc>
        <w:tc>
          <w:tcPr>
            <w:tcW w:w="4445" w:type="dxa"/>
            <w:vAlign w:val="top"/>
          </w:tcPr>
          <w:p>
            <w:pPr>
              <w:pStyle w:val="4"/>
              <w:spacing w:before="41" w:line="205" w:lineRule="auto"/>
              <w:ind w:left="231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5299" w:type="dxa"/>
            <w:vAlign w:val="top"/>
          </w:tcPr>
          <w:p>
            <w:pPr>
              <w:pStyle w:val="4"/>
              <w:spacing w:before="42" w:line="204" w:lineRule="auto"/>
              <w:ind w:left="134"/>
            </w:pPr>
          </w:p>
        </w:tc>
        <w:tc>
          <w:tcPr>
            <w:tcW w:w="4445" w:type="dxa"/>
            <w:vAlign w:val="top"/>
          </w:tcPr>
          <w:p>
            <w:pPr>
              <w:pStyle w:val="4"/>
              <w:spacing w:before="42" w:line="204" w:lineRule="auto"/>
              <w:ind w:left="11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5299" w:type="dxa"/>
            <w:vAlign w:val="top"/>
          </w:tcPr>
          <w:p>
            <w:pPr>
              <w:pStyle w:val="4"/>
              <w:spacing w:before="40" w:line="206" w:lineRule="auto"/>
              <w:ind w:left="353"/>
            </w:pPr>
          </w:p>
        </w:tc>
        <w:tc>
          <w:tcPr>
            <w:tcW w:w="4445" w:type="dxa"/>
            <w:vAlign w:val="top"/>
          </w:tcPr>
          <w:p>
            <w:pPr>
              <w:pStyle w:val="4"/>
              <w:spacing w:before="40" w:line="206" w:lineRule="auto"/>
              <w:ind w:left="132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5299" w:type="dxa"/>
            <w:vAlign w:val="top"/>
          </w:tcPr>
          <w:p>
            <w:pPr>
              <w:pStyle w:val="4"/>
              <w:spacing w:before="41" w:line="205" w:lineRule="auto"/>
              <w:ind w:left="364"/>
            </w:pPr>
          </w:p>
        </w:tc>
        <w:tc>
          <w:tcPr>
            <w:tcW w:w="4445" w:type="dxa"/>
            <w:vAlign w:val="top"/>
          </w:tcPr>
          <w:p>
            <w:pPr>
              <w:pStyle w:val="4"/>
              <w:spacing w:before="41" w:line="205" w:lineRule="auto"/>
              <w:ind w:left="132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5299" w:type="dxa"/>
            <w:vAlign w:val="top"/>
          </w:tcPr>
          <w:p>
            <w:pPr>
              <w:pStyle w:val="4"/>
              <w:spacing w:before="47" w:line="210" w:lineRule="auto"/>
              <w:ind w:left="119"/>
            </w:pPr>
          </w:p>
        </w:tc>
        <w:tc>
          <w:tcPr>
            <w:tcW w:w="4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71"/>
        <w:jc w:val="lef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66190" cy="1899285"/>
            <wp:effectExtent l="0" t="0" r="3810" b="5715"/>
            <wp:docPr id="1" name="图片 1" descr="张子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张子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张子杰（科室主任），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  <w:lang w:val="en-US" w:eastAsia="zh-CN"/>
        </w:rPr>
        <w:t>病理科</w:t>
      </w:r>
      <w:r>
        <w:rPr>
          <w:rFonts w:hint="eastAsia"/>
          <w:sz w:val="24"/>
          <w:szCs w:val="24"/>
        </w:rPr>
        <w:t>副主任医师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1992年毕业于新乡医学院医疗系，学士学位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从事病理诊断20</w:t>
      </w:r>
      <w:r>
        <w:rPr>
          <w:rFonts w:hint="eastAsia"/>
          <w:sz w:val="24"/>
          <w:szCs w:val="24"/>
          <w:lang w:val="en-US" w:eastAsia="zh-CN"/>
        </w:rPr>
        <w:t>余</w:t>
      </w:r>
      <w:r>
        <w:rPr>
          <w:rFonts w:hint="eastAsia"/>
          <w:sz w:val="24"/>
          <w:szCs w:val="24"/>
        </w:rPr>
        <w:t>年，有着丰富的病理诊断经验。对人体各个系统的疾病病理均有涉猎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熟悉乳腺、淋巴造血系统、妇科生殖系统等疾病的病理诊断。著书一部，科研成果3项。 在省级以上学术期刊发表论文10余篇。 任河南省医学会病理分会委员、河南省医师协会病理分会委员、河南省抗癌协会委员、南阳市医学会病理分会副主任委员。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1372235" cy="1900555"/>
            <wp:effectExtent l="0" t="0" r="12065" b="4445"/>
            <wp:docPr id="2" name="图片 2" descr="李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李印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李印，病理</w:t>
      </w:r>
      <w:r>
        <w:rPr>
          <w:rFonts w:hint="eastAsia"/>
          <w:sz w:val="24"/>
          <w:szCs w:val="24"/>
          <w:lang w:val="en-US" w:eastAsia="zh-CN"/>
        </w:rPr>
        <w:t>科</w:t>
      </w:r>
      <w:r>
        <w:rPr>
          <w:rFonts w:hint="eastAsia"/>
          <w:sz w:val="24"/>
          <w:szCs w:val="24"/>
        </w:rPr>
        <w:t>副主任医师。1995年毕业于河南科技大学临床医学专业，学士学位。从事病理工作近30年，1999年-2000年在河南省临床病理培训中心专业培训一年，并曾在北京、上海等大医院短期培训。</w:t>
      </w:r>
      <w:r>
        <w:rPr>
          <w:rFonts w:hint="eastAsia"/>
          <w:sz w:val="24"/>
          <w:szCs w:val="24"/>
          <w:lang w:val="en-US" w:eastAsia="zh-CN"/>
        </w:rPr>
        <w:t>以</w:t>
      </w:r>
      <w:r>
        <w:rPr>
          <w:rFonts w:hint="eastAsia"/>
          <w:sz w:val="24"/>
          <w:szCs w:val="24"/>
        </w:rPr>
        <w:t>第一作者发表学术论文近30篇(北大核心期刊6篇)，以第一完成人获南阳市科技成果二等奖一项。主攻肿瘤组织病理和肿瘤细胞病理诊断，在妇科标本、胸腹水标本和细针穿刺细胞标</w:t>
      </w:r>
      <w:r>
        <w:rPr>
          <w:rFonts w:hint="eastAsia"/>
          <w:sz w:val="24"/>
          <w:szCs w:val="24"/>
          <w:lang w:val="en-US" w:eastAsia="zh-CN"/>
        </w:rPr>
        <w:t>本制作石蜡切片查肿瘤原发灶</w:t>
      </w:r>
      <w:r>
        <w:rPr>
          <w:rFonts w:hint="eastAsia"/>
          <w:sz w:val="24"/>
          <w:szCs w:val="24"/>
        </w:rPr>
        <w:t>方面有研究，并发表细胞学论著文章6篇。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drawing>
          <wp:inline distT="0" distB="0" distL="114300" distR="114300">
            <wp:extent cx="1372870" cy="1900555"/>
            <wp:effectExtent l="0" t="0" r="11430" b="4445"/>
            <wp:docPr id="7" name="图片 7" descr="闫振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闫振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闫振宇，</w:t>
      </w:r>
      <w:r>
        <w:rPr>
          <w:rFonts w:hint="eastAsia"/>
          <w:sz w:val="24"/>
          <w:szCs w:val="24"/>
          <w:lang w:val="en-US" w:eastAsia="zh-CN"/>
        </w:rPr>
        <w:t>病理科副主任</w:t>
      </w:r>
      <w:r>
        <w:rPr>
          <w:rFonts w:hint="eastAsia"/>
          <w:sz w:val="24"/>
          <w:szCs w:val="24"/>
          <w:lang w:eastAsia="zh-CN"/>
        </w:rPr>
        <w:t>医师，</w:t>
      </w:r>
      <w:r>
        <w:rPr>
          <w:rFonts w:hint="eastAsia"/>
          <w:sz w:val="24"/>
          <w:szCs w:val="24"/>
          <w:lang w:val="en-US" w:eastAsia="zh-CN"/>
        </w:rPr>
        <w:t>毕业于</w:t>
      </w:r>
      <w:r>
        <w:rPr>
          <w:rFonts w:hint="eastAsia"/>
          <w:sz w:val="24"/>
          <w:szCs w:val="24"/>
          <w:lang w:eastAsia="zh-CN"/>
        </w:rPr>
        <w:t>华中科技大学同济医学院临床医学，本科学历，学士学位。</w:t>
      </w:r>
      <w:r>
        <w:rPr>
          <w:rFonts w:hint="eastAsia"/>
          <w:sz w:val="24"/>
          <w:szCs w:val="24"/>
        </w:rPr>
        <w:t>从事病理诊断工作</w:t>
      </w:r>
      <w:r>
        <w:rPr>
          <w:rFonts w:hint="eastAsia"/>
          <w:sz w:val="24"/>
          <w:szCs w:val="24"/>
          <w:lang w:val="en-US" w:eastAsia="zh-CN"/>
        </w:rPr>
        <w:t>30余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擅长</w:t>
      </w:r>
      <w:r>
        <w:rPr>
          <w:rFonts w:hint="eastAsia"/>
          <w:sz w:val="24"/>
          <w:szCs w:val="24"/>
          <w:lang w:eastAsia="zh-CN"/>
        </w:rPr>
        <w:t>乳腺肿瘤、甲状腺肿瘤、消化系统肿瘤、女性生殖系统肿瘤的诊断。</w:t>
      </w:r>
      <w:r>
        <w:rPr>
          <w:rFonts w:hint="eastAsia"/>
          <w:sz w:val="24"/>
          <w:szCs w:val="24"/>
          <w:lang w:val="en-US" w:eastAsia="zh-CN"/>
        </w:rPr>
        <w:t>现任</w:t>
      </w:r>
      <w:r>
        <w:rPr>
          <w:rFonts w:hint="eastAsia"/>
          <w:sz w:val="24"/>
          <w:szCs w:val="24"/>
          <w:lang w:eastAsia="zh-CN"/>
        </w:rPr>
        <w:t>南阳抗癌协会病理分会副主任委员、河南抗癌协会肉瘤委员会委员、河南病理学会细胞学组委员、河南省中西医结合学会病理分会常务委员。</w:t>
      </w:r>
      <w:r>
        <w:rPr>
          <w:rFonts w:hint="eastAsia"/>
          <w:sz w:val="24"/>
          <w:szCs w:val="24"/>
          <w:lang w:val="en-US" w:eastAsia="zh-CN"/>
        </w:rPr>
        <w:t>先后发表</w:t>
      </w:r>
      <w:r>
        <w:rPr>
          <w:rFonts w:hint="eastAsia"/>
          <w:sz w:val="24"/>
          <w:szCs w:val="24"/>
          <w:lang w:eastAsia="zh-CN"/>
        </w:rPr>
        <w:t>各级</w:t>
      </w:r>
      <w:r>
        <w:rPr>
          <w:rFonts w:hint="eastAsia"/>
          <w:sz w:val="24"/>
          <w:szCs w:val="24"/>
          <w:lang w:val="en-US" w:eastAsia="zh-CN"/>
        </w:rPr>
        <w:t>论</w:t>
      </w:r>
      <w:r>
        <w:rPr>
          <w:rFonts w:hint="eastAsia"/>
          <w:sz w:val="24"/>
          <w:szCs w:val="24"/>
          <w:lang w:eastAsia="zh-CN"/>
        </w:rPr>
        <w:t>文二十余篇，其中一篇发表于《中华病理学杂志》，专著2</w:t>
      </w:r>
      <w:r>
        <w:rPr>
          <w:rFonts w:hint="eastAsia"/>
          <w:sz w:val="24"/>
          <w:szCs w:val="24"/>
          <w:lang w:val="en-US" w:eastAsia="zh-CN"/>
        </w:rPr>
        <w:t>部</w:t>
      </w:r>
      <w:r>
        <w:rPr>
          <w:rFonts w:hint="eastAsia"/>
          <w:sz w:val="24"/>
          <w:szCs w:val="24"/>
          <w:lang w:eastAsia="zh-CN"/>
        </w:rPr>
        <w:t>，南阳市科技进步奖2项。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66850" cy="1900555"/>
            <wp:effectExtent l="0" t="0" r="6350" b="4445"/>
            <wp:docPr id="3" name="图片 3" descr="病理科-王桂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病理科-王桂菊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王桂菊，</w:t>
      </w:r>
      <w:r>
        <w:rPr>
          <w:rFonts w:hint="eastAsia"/>
          <w:sz w:val="24"/>
          <w:szCs w:val="24"/>
          <w:lang w:val="en-US" w:eastAsia="zh-CN"/>
        </w:rPr>
        <w:t>病理科</w:t>
      </w:r>
      <w:r>
        <w:rPr>
          <w:rFonts w:hint="eastAsia"/>
          <w:sz w:val="24"/>
          <w:szCs w:val="24"/>
        </w:rPr>
        <w:t>副主任医师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学士学位。现任南阳市医学会病理专业委员会委员，南阳市抗癌协会肿瘤病理专业委员会委员。从事病理诊断工作近20年，</w:t>
      </w:r>
      <w:r>
        <w:rPr>
          <w:rFonts w:hint="eastAsia"/>
          <w:sz w:val="24"/>
          <w:szCs w:val="24"/>
          <w:lang w:val="en-US" w:eastAsia="zh-CN"/>
        </w:rPr>
        <w:t>积累了大量的病理诊断经验，</w:t>
      </w:r>
      <w:r>
        <w:rPr>
          <w:rFonts w:hint="eastAsia"/>
          <w:sz w:val="24"/>
          <w:szCs w:val="24"/>
        </w:rPr>
        <w:t>曾在河南省人民医院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郑州大学第一附属医院病理科</w:t>
      </w:r>
      <w:r>
        <w:rPr>
          <w:rFonts w:hint="eastAsia"/>
          <w:sz w:val="24"/>
          <w:szCs w:val="24"/>
        </w:rPr>
        <w:t>进修</w:t>
      </w:r>
      <w:r>
        <w:rPr>
          <w:rFonts w:hint="eastAsia"/>
          <w:sz w:val="24"/>
          <w:szCs w:val="24"/>
          <w:lang w:val="en-US" w:eastAsia="zh-CN"/>
        </w:rPr>
        <w:t>学习</w:t>
      </w:r>
      <w:r>
        <w:rPr>
          <w:rFonts w:hint="eastAsia"/>
          <w:sz w:val="24"/>
          <w:szCs w:val="24"/>
        </w:rPr>
        <w:t>，先后发表学术论文5篇，主要从事常规病理、术中快速冰冻以及免疫组化等病理诊断工作。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drawing>
          <wp:inline distT="0" distB="0" distL="114300" distR="114300">
            <wp:extent cx="1372870" cy="1900555"/>
            <wp:effectExtent l="0" t="0" r="11430" b="4445"/>
            <wp:docPr id="5" name="图片 5" descr="李清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李清苗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李清苗，病理科副主任医师，</w:t>
      </w:r>
      <w:r>
        <w:rPr>
          <w:rFonts w:hint="eastAsia"/>
          <w:sz w:val="24"/>
          <w:szCs w:val="24"/>
          <w:lang w:eastAsia="zh-CN"/>
        </w:rPr>
        <w:t>1995年南阳医专临床检验专业毕业，2004年新乡医学院临床医学专业毕业，本科，1998年至2019</w:t>
      </w:r>
      <w:r>
        <w:rPr>
          <w:rFonts w:hint="eastAsia"/>
          <w:sz w:val="24"/>
          <w:szCs w:val="24"/>
          <w:lang w:val="en-US" w:eastAsia="zh-CN"/>
        </w:rPr>
        <w:t>年在</w:t>
      </w:r>
      <w:r>
        <w:rPr>
          <w:rFonts w:hint="eastAsia"/>
          <w:sz w:val="24"/>
          <w:szCs w:val="24"/>
          <w:lang w:eastAsia="zh-CN"/>
        </w:rPr>
        <w:t>南阳市肿瘤医院病理科</w:t>
      </w:r>
      <w:r>
        <w:rPr>
          <w:rFonts w:hint="eastAsia"/>
          <w:sz w:val="24"/>
          <w:szCs w:val="24"/>
          <w:lang w:val="en-US" w:eastAsia="zh-CN"/>
        </w:rPr>
        <w:t>从事</w:t>
      </w:r>
      <w:r>
        <w:rPr>
          <w:rFonts w:hint="eastAsia"/>
          <w:sz w:val="24"/>
          <w:szCs w:val="24"/>
          <w:lang w:eastAsia="zh-CN"/>
        </w:rPr>
        <w:t>病理诊断</w:t>
      </w:r>
      <w:r>
        <w:rPr>
          <w:rFonts w:hint="eastAsia"/>
          <w:sz w:val="24"/>
          <w:szCs w:val="24"/>
          <w:lang w:val="en-US" w:eastAsia="zh-CN"/>
        </w:rPr>
        <w:t>工作</w:t>
      </w:r>
      <w:r>
        <w:rPr>
          <w:rFonts w:hint="eastAsia"/>
          <w:sz w:val="24"/>
          <w:szCs w:val="24"/>
          <w:lang w:eastAsia="zh-CN"/>
        </w:rPr>
        <w:t>，2019年至今</w:t>
      </w:r>
      <w:r>
        <w:rPr>
          <w:rFonts w:hint="eastAsia"/>
          <w:sz w:val="24"/>
          <w:szCs w:val="24"/>
          <w:lang w:val="en-US" w:eastAsia="zh-CN"/>
        </w:rPr>
        <w:t>在</w:t>
      </w:r>
      <w:r>
        <w:rPr>
          <w:rFonts w:hint="eastAsia"/>
          <w:sz w:val="24"/>
          <w:szCs w:val="24"/>
          <w:lang w:eastAsia="zh-CN"/>
        </w:rPr>
        <w:t>南阳市中心医院病理科病理</w:t>
      </w:r>
      <w:r>
        <w:rPr>
          <w:rFonts w:hint="eastAsia"/>
          <w:sz w:val="24"/>
          <w:szCs w:val="24"/>
          <w:lang w:val="en-US" w:eastAsia="zh-CN"/>
        </w:rPr>
        <w:t>从事</w:t>
      </w:r>
      <w:r>
        <w:rPr>
          <w:rFonts w:hint="eastAsia"/>
          <w:sz w:val="24"/>
          <w:szCs w:val="24"/>
          <w:lang w:eastAsia="zh-CN"/>
        </w:rPr>
        <w:t>病理诊断</w:t>
      </w:r>
      <w:r>
        <w:rPr>
          <w:rFonts w:hint="eastAsia"/>
          <w:sz w:val="24"/>
          <w:szCs w:val="24"/>
          <w:lang w:val="en-US" w:eastAsia="zh-CN"/>
        </w:rPr>
        <w:t>工作</w:t>
      </w:r>
      <w:r>
        <w:rPr>
          <w:rFonts w:hint="eastAsia"/>
          <w:sz w:val="24"/>
          <w:szCs w:val="24"/>
          <w:lang w:eastAsia="zh-CN"/>
        </w:rPr>
        <w:t>。任河南省病理分会骨肿瘤委员会委员；南阳市医师学会病理分会委员；南阳市抗癌协会病理委员会委员。从事病理诊断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rFonts w:hint="eastAsia"/>
          <w:sz w:val="24"/>
          <w:szCs w:val="24"/>
          <w:lang w:eastAsia="zh-CN"/>
        </w:rPr>
        <w:t>余年，发表论文数篇，著作一部，发明专利一项。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1395095" cy="1900555"/>
            <wp:effectExtent l="0" t="0" r="1905" b="4445"/>
            <wp:docPr id="4" name="图片 4" descr="苏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苏博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苏博，</w:t>
      </w:r>
      <w:r>
        <w:rPr>
          <w:rFonts w:hint="eastAsia"/>
          <w:sz w:val="24"/>
          <w:szCs w:val="24"/>
          <w:lang w:val="en-US" w:eastAsia="zh-CN"/>
        </w:rPr>
        <w:t>病理科</w:t>
      </w:r>
      <w:r>
        <w:rPr>
          <w:rFonts w:hint="eastAsia" w:eastAsiaTheme="minorEastAsia"/>
          <w:sz w:val="24"/>
          <w:szCs w:val="24"/>
          <w:lang w:eastAsia="zh-CN"/>
        </w:rPr>
        <w:t>副主任医师，病理学硕士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 w:eastAsiaTheme="minorEastAsia"/>
          <w:sz w:val="24"/>
          <w:szCs w:val="24"/>
          <w:lang w:eastAsia="zh-CN"/>
        </w:rPr>
        <w:t>从事病理诊断工作10余年，擅长呼吸系统、女性生殖系统及神经内分泌肿瘤等方向病理诊断，现任中华医学会河南省病理学分会青年委员、河南省临床肿瘤学会肿瘤病理专业委员会委员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 w:eastAsiaTheme="minorEastAsia"/>
          <w:sz w:val="24"/>
          <w:szCs w:val="24"/>
          <w:lang w:eastAsia="zh-CN"/>
        </w:rPr>
        <w:t>中华医学会南阳病理学分会委员、河南省医学会呼吸学组委员等，获河南省省医学科技奖2项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drawing>
          <wp:inline distT="0" distB="0" distL="114300" distR="114300">
            <wp:extent cx="1241425" cy="1886585"/>
            <wp:effectExtent l="0" t="0" r="3175" b="5715"/>
            <wp:docPr id="6" name="图片 6" descr="袁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袁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袁征，</w:t>
      </w:r>
      <w:r>
        <w:rPr>
          <w:rFonts w:hint="eastAsia"/>
          <w:sz w:val="24"/>
          <w:szCs w:val="24"/>
          <w:lang w:val="en-US" w:eastAsia="zh-CN"/>
        </w:rPr>
        <w:t>病理科</w:t>
      </w:r>
      <w:r>
        <w:rPr>
          <w:rFonts w:hint="eastAsia"/>
          <w:sz w:val="24"/>
          <w:szCs w:val="24"/>
          <w:lang w:eastAsia="zh-CN"/>
        </w:rPr>
        <w:t>副主任医师，病理学硕士， 毕业于华中科技大学同济医学院，病理学与病理生理学专业，从事病理诊断17年，发表国家级论文10余篇。</w:t>
      </w:r>
      <w:r>
        <w:rPr>
          <w:rFonts w:hint="eastAsia"/>
          <w:sz w:val="24"/>
          <w:szCs w:val="24"/>
          <w:lang w:val="en-US" w:eastAsia="zh-CN"/>
        </w:rPr>
        <w:t>任</w:t>
      </w:r>
      <w:r>
        <w:rPr>
          <w:rFonts w:hint="eastAsia"/>
          <w:sz w:val="24"/>
          <w:szCs w:val="24"/>
          <w:lang w:eastAsia="zh-CN"/>
        </w:rPr>
        <w:t>中华医学会南阳病理学分会副主任委员。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07EB4"/>
    <w:rsid w:val="1E754323"/>
    <w:rsid w:val="2B007E1C"/>
    <w:rsid w:val="361B5F0D"/>
    <w:rsid w:val="3D242051"/>
    <w:rsid w:val="4EF94B00"/>
    <w:rsid w:val="5FEF4AA1"/>
    <w:rsid w:val="6CEB690D"/>
    <w:rsid w:val="7F7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1777</Words>
  <Characters>1838</Characters>
  <Lines>0</Lines>
  <Paragraphs>0</Paragraphs>
  <TotalTime>0</TotalTime>
  <ScaleCrop>false</ScaleCrop>
  <LinksUpToDate>false</LinksUpToDate>
  <CharactersWithSpaces>1842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2025-06-20T02:05:00Z</dcterms:created>
  <dc:creator>leesh</dc:creator>
  <cp:lastModifiedBy>Administrator</cp:lastModifiedBy>
  <dcterms:modified xsi:type="dcterms:W3CDTF">2025-11-18T01:28:19Z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eyJoZGlkIjoiYmE4NTE1ZWVkYjViNmVlZjU3N2U4Y2JjYTAyYWFmOTkiLCJ1c2VySWQiOiIyNzg0NDk5OCJ9</vt:lpwstr>
  </property>
  <property fmtid="{D5CDD505-2E9C-101B-9397-08002B2CF9AE}" pid="4" name="ICV">
    <vt:lpwstr>D61D9460B39B4C8C8DEE3E8E0BAD2D4B_12</vt:lpwstr>
  </property>
</Properties>
</file>