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5E3C">
      <w:pPr>
        <w:pStyle w:val="14"/>
        <w:widowControl/>
      </w:pPr>
      <w:r>
        <w:t>就医流程</w:t>
      </w:r>
    </w:p>
    <w:p w14:paraId="1FFA9A95">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我院为无假日医院，门诊就诊时间:冬季上午8:00-下午5:30，夏季上午8:00下午6:00，急诊24小时服务。</w:t>
      </w:r>
    </w:p>
    <w:p w14:paraId="3169E471">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我院门诊患者就诊实施信息化管理系统，就诊前(初诊患者)请到收费挂号窗口进行挂号，然后持挂号本在收费处领取就诊卡(或本人身份证)，持就诊卡(或本人身份证)到门诊科室就诊。</w:t>
      </w:r>
    </w:p>
    <w:p w14:paraId="3C0AC412">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请根据自己的病情自主选择医生。如您想了解本院相关专家概况，可参考门诊大厅医生值班信息或向导医咨询。</w:t>
      </w:r>
    </w:p>
    <w:p w14:paraId="7B3CB058">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我院按有关规定实施同级医疗机构医学影像、医学检验检查结果互认，避免重复检查，不增加患者费用负担。</w:t>
      </w:r>
    </w:p>
    <w:p w14:paraId="4358BB69">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对来我院就诊患者导医人员主动迎接并根据患者需求提供服务,对于急危重症患者和行动不便的患者，导诊人员陪送至各诊室，并陪伴检查。</w:t>
      </w:r>
    </w:p>
    <w:p w14:paraId="5E1EA36B">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如您需要住院治疗，请持门诊医生开具的住院通知单到病区护理站登记后持电子住院单到住院收费处办理住院手续。</w:t>
      </w:r>
    </w:p>
    <w:p w14:paraId="14E58AA1">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请您在门诊大厅收费窗口支付应交费用，交款时现金要当面点清.</w:t>
      </w:r>
    </w:p>
    <w:p w14:paraId="57C7A3B7">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请您就诊过程中保管好您的钱物和各种票据防止丢失。</w:t>
      </w:r>
    </w:p>
    <w:p w14:paraId="61AF78C2">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请保持大厅及各诊室清洁，不随地吐痰、乱丢果皮，不要大声喧哗，禁止吸烟。</w:t>
      </w:r>
    </w:p>
    <w:p w14:paraId="1113CFA5">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您在本院就诊期间，如需帮助请向主诊医生或护士提出，如有问题或建议，请向医患办反映，或拨打投诉电话0377-63268607，我们将给您满意的答复。</w:t>
      </w:r>
    </w:p>
    <w:p w14:paraId="122C2198">
      <w:pPr>
        <w:pStyle w:val="11"/>
        <w:widowControl/>
        <w:numPr>
          <w:ilvl w:val="0"/>
          <w:numId w:val="1"/>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方正仿宋_GB2312" w:hAnsi="方正仿宋_GB2312" w:eastAsia="方正仿宋_GB2312" w:cs="方正仿宋_GB2312"/>
          <w:b/>
          <w:bCs/>
          <w:i w:val="0"/>
          <w:color w:val="555555"/>
          <w:bdr w:val="none" w:sz="0" w:space="0"/>
        </w:rPr>
      </w:pPr>
      <w:r>
        <w:rPr>
          <w:rFonts w:hint="eastAsia" w:ascii="方正仿宋_GB2312" w:hAnsi="方正仿宋_GB2312" w:eastAsia="方正仿宋_GB2312" w:cs="方正仿宋_GB2312"/>
          <w:b/>
          <w:bCs/>
          <w:i w:val="0"/>
          <w:color w:val="555555"/>
          <w:bdr w:val="none" w:color="auto" w:sz="0" w:space="0"/>
        </w:rPr>
        <w:t>您在就诊期间，请不要轻信外来“医托”及少数无业人员的花言巧语，以防上当受骗，一旦发现“医托”行骗。</w:t>
      </w:r>
    </w:p>
    <w:p w14:paraId="59398D53">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7DAEE4D7">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04AD1AC9">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663CADC0">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593493A3">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523BDA45">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0FE0105B">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62554E12">
      <w:pPr>
        <w:pStyle w:val="11"/>
        <w:widowControl/>
        <w:numPr>
          <w:numId w:val="0"/>
        </w:numPr>
        <w:pBdr>
          <w:top w:val="none" w:color="auto" w:sz="0" w:space="0"/>
          <w:left w:val="none" w:color="auto" w:sz="0" w:space="0"/>
          <w:bottom w:val="none" w:color="auto" w:sz="0" w:space="0"/>
          <w:right w:val="none" w:color="auto" w:sz="0" w:space="0"/>
        </w:pBdr>
        <w:topLinePunct w:val="0"/>
        <w:adjustRightInd w:val="0"/>
        <w:spacing w:before="100" w:after="100" w:afterLines="0" w:afterAutospacing="0" w:line="300" w:lineRule="auto"/>
        <w:jc w:val="both"/>
        <w:rPr>
          <w:i w:val="0"/>
          <w:color w:val="555555"/>
          <w:bdr w:val="none" w:color="auto" w:sz="0" w:space="0"/>
        </w:rPr>
      </w:pPr>
    </w:p>
    <w:p w14:paraId="342EA413">
      <w:pPr>
        <w:pStyle w:val="14"/>
        <w:widowControl/>
      </w:pPr>
      <w:r>
        <w:t>住院患者须知</w:t>
      </w:r>
    </w:p>
    <w:p w14:paraId="243FD4A2">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尊敬的患者：</w:t>
      </w:r>
    </w:p>
    <w:p w14:paraId="7FB5DB38">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感谢您选择到我院就诊。医院是为患者提供预防保健及诊治疾病的场所，我们的宗旨是为广大患者提供优质的医疗诊治服务。为了使您早日恢复健康，为使您和其他患者以及医务人员的合法权益得到保障，特此向您告知如下内容：</w:t>
      </w:r>
    </w:p>
    <w:p w14:paraId="3E041584">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一、根据相关法律规定，住院期间您享有如下权利：</w:t>
      </w:r>
    </w:p>
    <w:p w14:paraId="6399C91D">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1、您将获得我院提供的医疗救治或预防保健服务；</w:t>
      </w:r>
    </w:p>
    <w:p w14:paraId="41B45AF2">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2、您可以了解您的病情发展、疾病诊断、医师建议的治疗方案、治疗效果及预后等相关情况；</w:t>
      </w:r>
    </w:p>
    <w:p w14:paraId="1CBC9370">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3、您可以对医师建议的治疗方案做出选择和决定，并可以提出相关的治疗建议；</w:t>
      </w:r>
    </w:p>
    <w:p w14:paraId="4F762A6F">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4、您可以了解处方药物的名称、价格及所选药物的毒副作用，并对医师建议使用的药物作出选择；</w:t>
      </w:r>
    </w:p>
    <w:p w14:paraId="39C8FC61">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5、您可以得到与您的病情相适应的各级别护理；</w:t>
      </w:r>
    </w:p>
    <w:p w14:paraId="74818ADA">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6、您可以授权具有完全民事行为能力的人代您行使相关的诊疗选择决定权；</w:t>
      </w:r>
    </w:p>
    <w:p w14:paraId="524BB889">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7、您可以就与您疾病相关的一切问题向医务人员进行咨询，行使您的就医自主权；</w:t>
      </w:r>
    </w:p>
    <w:p w14:paraId="53557E87">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8、您可以要求医务人员对您的病情进行保密，我们会尊重您的隐私；</w:t>
      </w:r>
    </w:p>
    <w:p w14:paraId="0F6A1A68">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9、您可以复制法律规定范围内的病历资料；</w:t>
      </w:r>
    </w:p>
    <w:p w14:paraId="0BC433CC">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10、若您对我们的医疗服务不满意，您可以向您的经治医师、主管科室主任提出，也可以向医院投诉管理部门进行投诉；</w:t>
      </w:r>
    </w:p>
    <w:p w14:paraId="2F2E8D48">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11、您可以拒绝未经您同意进行的临床实验和医学教学诊疗行为。</w:t>
      </w:r>
    </w:p>
    <w:p w14:paraId="06AF4330">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二、在您享有上述权利的同时，根据法律规定，您还有如下义务：</w:t>
      </w:r>
    </w:p>
    <w:p w14:paraId="2AC44197">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1、请您提供真实的个人基本信息，包括您的姓名、年龄、住址及医疗保险报销类别等；</w:t>
      </w:r>
    </w:p>
    <w:p w14:paraId="2F31FB76">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2.请您向医护人员详尽如实提供与您健康有关的一切情况，包括本次患病的基本情况、既往病史及诊治经过、药物过敏史及其他有关详细情况；</w:t>
      </w:r>
    </w:p>
    <w:p w14:paraId="6F459456">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3,您需要进行手术、特殊检查、特殊治疗、实验性医疗时，在医师充分告知的前提下，请您签署知情同意书。文书一经自愿签署，即具有相应法律效力，您应慎重、正确行使自己的就医选择权；</w:t>
      </w:r>
    </w:p>
    <w:p w14:paraId="69E4DCEF">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4、请您遵从医师的医嘱、积极配合治疗、遵从医师提出并经您同意的治疗方案，并且按时出院，为保证您恢复健康，出院后，请您还应按照医师的医嘱进行活动、休息、复诊等；</w:t>
      </w:r>
    </w:p>
    <w:p w14:paraId="5CFDC6FA">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5、请您及时足额缴纳医药费用；</w:t>
      </w:r>
    </w:p>
    <w:p w14:paraId="2FA87AE5">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6、请您遵守诊疗过程中医院相关管理规定，维护医院诊疗服务正常秩序；</w:t>
      </w:r>
    </w:p>
    <w:p w14:paraId="23243B3E">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7、如果您在本院被确诊为法定传染病，医院将依法律规定对您采取相应的诊疗措施，或限制您的某些人身自由，请您予以配合；</w:t>
      </w:r>
    </w:p>
    <w:p w14:paraId="06F4FF95">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8、请您尊重医务人员人格权、人身权，并且尊重其他患者的隐私权；</w:t>
      </w:r>
    </w:p>
    <w:p w14:paraId="665BE7C6">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9、请您自觉维护医院公共场所安全、清洁、安静，爱护公共财产设施，不吸烟喝酒，不干扰其他患者诊疗；</w:t>
      </w:r>
    </w:p>
    <w:p w14:paraId="24090A03">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10、在取得您同意的前提下，请您配合临床试验和实习教学；</w:t>
      </w:r>
    </w:p>
    <w:p w14:paraId="3ADFC9C2">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11、在抢救危重患者的过程中，需借床、换床、换房或采用的抢救措施对您造成惊吓、干扰等诸多不便，请您理解和配合。</w:t>
      </w:r>
    </w:p>
    <w:p w14:paraId="32844AB1">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三、住院期间其它需要向您提示的问题：</w:t>
      </w:r>
    </w:p>
    <w:p w14:paraId="4CC010A7">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1、医师查房、治疗时，请您不要离开病房，不要在病室内大声喧哗或做其他与诊疗无关或有碍医疗秩序的事情；</w:t>
      </w:r>
    </w:p>
    <w:p w14:paraId="76D8A9B7">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2、当您身体出现不适情况或需要护士帮助时，请使用床头呼叫器呼叫医护人员，或者通过其他方式通知护士站，不要自行活动防止意外；</w:t>
      </w:r>
    </w:p>
    <w:p w14:paraId="4B2AEE05">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3、住院期间请不要擅自离开病区、离院及在外住宿，以免发生意外；如有特殊情况需要离院，必须签署住院患者外出告知书。</w:t>
      </w:r>
    </w:p>
    <w:p w14:paraId="1BBA89C8">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4、住院期间您可能因外出违反医保相关政策规定，而造成经济损失。</w:t>
      </w:r>
    </w:p>
    <w:p w14:paraId="31478A71">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5、住院期间未经医师同意，请不要擅自到院外就诊、购药、私自请医师来院会诊及采取其他治疗手段，以免发生意外；</w:t>
      </w:r>
    </w:p>
    <w:p w14:paraId="043F1540">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6、住院期间未经医师同意，请不要自行服药或治疗，避免发生意外的不良后果；</w:t>
      </w:r>
    </w:p>
    <w:p w14:paraId="6DA72898">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7、我院为公共场所，无烟医院，禁止吸烟，如确有吸烟需求，请到吸烟区；</w:t>
      </w:r>
    </w:p>
    <w:p w14:paraId="6FD4E2BF">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8、为确保安全，请不要在病区、病室内吸烟和使用电炉、酒精炉、煤油炉等，未经许可请不要将家用电器带入病房使用，违者将按医院有关规定处理，并承担由此引起的一切损失；</w:t>
      </w:r>
    </w:p>
    <w:p w14:paraId="39AE4C0D">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9、住院期间请不要将贵重物品存放在病房，防止丢失；</w:t>
      </w:r>
    </w:p>
    <w:p w14:paraId="4B39FF98">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10、患者及家属请遵守医院的探视规定，探视人员不得自行留宿或陪床；</w:t>
      </w:r>
    </w:p>
    <w:p w14:paraId="4C6E759D">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11、请不要要求医务人员提供虚假医学文书和票据；</w:t>
      </w:r>
    </w:p>
    <w:p w14:paraId="6717AFEE">
      <w:pPr>
        <w:pStyle w:val="14"/>
        <w:widowControl/>
        <w:jc w:val="both"/>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12、如果发生医疗纠纷，请您保持理智、冷静，按照法律规定程序处理；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696B03A9-E671-4D23-9271-33FAC9AC841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47C64"/>
    <w:multiLevelType w:val="singleLevel"/>
    <w:tmpl w:val="CC047C64"/>
    <w:lvl w:ilvl="0" w:tentative="0">
      <w:start w:val="1"/>
      <w:numFmt w:val="chineseCounting"/>
      <w:suff w:val="nothing"/>
      <w:lvlText w:val="%1、"/>
      <w:lvlJc w:val="left"/>
      <w:pPr>
        <w:ind w:left="0" w:firstLine="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7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2025-11-27T07:39:51Z</dcterms:created>
  <dc:creator>admin</dc:creator>
  <cp:lastModifiedBy>大肚肚～</cp:lastModifiedBy>
  <dcterms:modified xsi:type="dcterms:W3CDTF">2025-11-27T08:01:28Z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eyJoZGlkIjoiYzQ4MmQ3Yzg0NWVlZjYxYWM0ZjE0MTNhNGE0MDM3YWMiLCJ1c2VySWQiOiI1NzQwNTE2MjcifQ==</vt:lpwstr>
  </property>
  <property fmtid="{D5CDD505-2E9C-101B-9397-08002B2CF9AE}" pid="4" name="ICV">
    <vt:lpwstr>39CEFC6F06FC47839A00E0B748E6F757_12</vt:lpwstr>
  </property>
</Properties>
</file>