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7DD4"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6"/>
          <w:szCs w:val="36"/>
          <w:lang w:val="en-US" w:eastAsia="en-US" w:bidi="ar-SA"/>
        </w:rPr>
        <w:t>公共卫生预防控制</w:t>
      </w:r>
      <w:r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6"/>
          <w:szCs w:val="36"/>
          <w:lang w:val="en-US" w:eastAsia="zh-CN" w:bidi="ar-SA"/>
        </w:rPr>
        <w:t>及应急处置措施</w:t>
      </w:r>
      <w:bookmarkStart w:id="1" w:name="_GoBack"/>
      <w:bookmarkEnd w:id="1"/>
    </w:p>
    <w:p w14:paraId="5BE247DF">
      <w:pPr>
        <w:pStyle w:val="3"/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2"/>
          <w:szCs w:val="32"/>
          <w:lang w:val="en-US" w:eastAsia="en-US" w:bidi="ar-SA"/>
        </w:rPr>
        <w:t>一、公共卫生预防控制信息公开</w:t>
      </w:r>
    </w:p>
    <w:tbl>
      <w:tblPr>
        <w:tblStyle w:val="33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734"/>
        <w:gridCol w:w="812"/>
        <w:gridCol w:w="1314"/>
        <w:gridCol w:w="2178"/>
      </w:tblGrid>
      <w:tr w14:paraId="0000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BFA406A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类别</w:t>
            </w:r>
          </w:p>
        </w:tc>
        <w:tc>
          <w:tcPr>
            <w:tcW w:w="3734" w:type="dxa"/>
          </w:tcPr>
          <w:p w14:paraId="03844BBE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公开内容</w:t>
            </w:r>
          </w:p>
        </w:tc>
        <w:tc>
          <w:tcPr>
            <w:tcW w:w="812" w:type="dxa"/>
          </w:tcPr>
          <w:p w14:paraId="0CE3AA76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公开方式</w:t>
            </w:r>
          </w:p>
        </w:tc>
        <w:tc>
          <w:tcPr>
            <w:tcW w:w="1314" w:type="dxa"/>
          </w:tcPr>
          <w:p w14:paraId="3FC259C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责任部门</w:t>
            </w:r>
          </w:p>
        </w:tc>
        <w:tc>
          <w:tcPr>
            <w:tcW w:w="2178" w:type="dxa"/>
          </w:tcPr>
          <w:p w14:paraId="50BCC2A1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依据</w:t>
            </w:r>
          </w:p>
        </w:tc>
      </w:tr>
      <w:tr w14:paraId="51F4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50" w:type="dxa"/>
          </w:tcPr>
          <w:p w14:paraId="0DF86652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突发公共卫生事件及聚集疫情调查处置</w:t>
            </w:r>
          </w:p>
        </w:tc>
        <w:tc>
          <w:tcPr>
            <w:tcW w:w="3734" w:type="dxa"/>
          </w:tcPr>
          <w:p w14:paraId="042AFC08">
            <w:pPr>
              <w:numPr>
                <w:ilvl w:val="0"/>
                <w:numId w:val="7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严格按照《突发公共卫生事件应急条例》和《突发公共卫生事件应急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条例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》对医院内突发公共卫生事件进行处置。</w:t>
            </w:r>
          </w:p>
          <w:p w14:paraId="74424CD9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2.加强应急队伍建设，强化培训，应急队伍随时处于应急战备状态。</w:t>
            </w:r>
          </w:p>
          <w:p w14:paraId="17D87DF2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3.加强应急物资储备，结合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新形势下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疫情防控工作，规范采购、适当储备卫生应急物资，保障疫情防控需求。</w:t>
            </w:r>
          </w:p>
        </w:tc>
        <w:tc>
          <w:tcPr>
            <w:tcW w:w="812" w:type="dxa"/>
          </w:tcPr>
          <w:p w14:paraId="32929DB1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院内文件</w:t>
            </w:r>
          </w:p>
        </w:tc>
        <w:tc>
          <w:tcPr>
            <w:tcW w:w="1314" w:type="dxa"/>
          </w:tcPr>
          <w:p w14:paraId="62909F2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公共卫生科、医务科、设备科</w:t>
            </w:r>
          </w:p>
        </w:tc>
        <w:tc>
          <w:tcPr>
            <w:tcW w:w="2178" w:type="dxa"/>
          </w:tcPr>
          <w:p w14:paraId="3310D73B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《突发公共卫生事件应急条例》</w:t>
            </w:r>
          </w:p>
          <w:p w14:paraId="508E4CD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《突发公共卫生事件应急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条例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》</w:t>
            </w:r>
          </w:p>
        </w:tc>
      </w:tr>
      <w:tr w14:paraId="6CB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48997C4F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传染病防控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加强传染病疫情管理和重点疾病监测</w:t>
            </w:r>
          </w:p>
        </w:tc>
        <w:tc>
          <w:tcPr>
            <w:tcW w:w="3734" w:type="dxa"/>
          </w:tcPr>
          <w:p w14:paraId="4A47362B">
            <w:pPr>
              <w:numPr>
                <w:ilvl w:val="0"/>
                <w:numId w:val="8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传染病监测与报告流程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。</w:t>
            </w:r>
          </w:p>
          <w:p w14:paraId="3E1C637D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2.认真开展疫情监测及网络报告工作。</w:t>
            </w:r>
          </w:p>
          <w:p w14:paraId="6E37C6CB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对到我院就诊的患者认真执行传染病疫情诊断、日报告制度，每天专人专班负债传染病疫情信息的及时审核及报告，对重大疫情及时报告给分管的院领导及上报疾控中心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。</w:t>
            </w:r>
          </w:p>
          <w:p w14:paraId="3C85BE1A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加强对就诊者：发热患者、手足口病、麻疹、AFP等病例监测工作，及时发现疫情，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流调样、送检、反馈，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防止疫情扩散。</w:t>
            </w:r>
          </w:p>
        </w:tc>
        <w:tc>
          <w:tcPr>
            <w:tcW w:w="812" w:type="dxa"/>
          </w:tcPr>
          <w:p w14:paraId="0F481AC1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院内文件</w:t>
            </w:r>
          </w:p>
        </w:tc>
        <w:tc>
          <w:tcPr>
            <w:tcW w:w="1314" w:type="dxa"/>
          </w:tcPr>
          <w:p w14:paraId="7A55CD3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</w:t>
            </w:r>
          </w:p>
        </w:tc>
        <w:tc>
          <w:tcPr>
            <w:tcW w:w="2178" w:type="dxa"/>
          </w:tcPr>
          <w:p w14:paraId="660787A1">
            <w:pPr>
              <w:numPr>
                <w:ilvl w:val="0"/>
                <w:numId w:val="9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传染病监测与报告流程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法</w:t>
            </w:r>
          </w:p>
          <w:p w14:paraId="5D25A701">
            <w:pPr>
              <w:numPr>
                <w:ilvl w:val="0"/>
                <w:numId w:val="9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法定传染病、病毒性肝炎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、结核病、流感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等报告流程。</w:t>
            </w:r>
          </w:p>
          <w:p w14:paraId="3140DBDB">
            <w:pPr>
              <w:numPr>
                <w:ilvl w:val="0"/>
                <w:numId w:val="9"/>
              </w:num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传染病月报资料</w:t>
            </w:r>
          </w:p>
        </w:tc>
      </w:tr>
      <w:tr w14:paraId="7564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3A2520D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结核病防治工作、肺结核病人的管理</w:t>
            </w:r>
          </w:p>
        </w:tc>
        <w:tc>
          <w:tcPr>
            <w:tcW w:w="3734" w:type="dxa"/>
          </w:tcPr>
          <w:p w14:paraId="6722ACD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按照卫生部《结核病防治管理办法》的规定，肺结核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疑似病例的管理和报告转诊，实行属地化管理和首诊负责制。规定要求，非定点医疗机构一旦发现诊断为肺及疑似肺结核病人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肺外结核和陈旧性肺结核除外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，包括实验室确诊病例、临床诊断病例和疑似肺结核患者，都应在规定时限内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24小时内）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填写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传染病报告卡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网络报告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并转诊到结核病定点医疗机构。</w:t>
            </w:r>
          </w:p>
        </w:tc>
        <w:tc>
          <w:tcPr>
            <w:tcW w:w="812" w:type="dxa"/>
          </w:tcPr>
          <w:p w14:paraId="4A97B5CE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院内文件</w:t>
            </w:r>
          </w:p>
        </w:tc>
        <w:tc>
          <w:tcPr>
            <w:tcW w:w="1314" w:type="dxa"/>
          </w:tcPr>
          <w:p w14:paraId="15D8A94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公共卫生科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影像科、检验科、感染性疾病科</w:t>
            </w:r>
          </w:p>
        </w:tc>
        <w:tc>
          <w:tcPr>
            <w:tcW w:w="2178" w:type="dxa"/>
          </w:tcPr>
          <w:p w14:paraId="1FEAABC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影像科、检验科阳性反馈机制》、《院内结核病请会诊、转诊制度》，多部门协作。</w:t>
            </w:r>
          </w:p>
        </w:tc>
      </w:tr>
      <w:tr w14:paraId="7B61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692C7B4A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公共卫生事件管理</w:t>
            </w:r>
          </w:p>
        </w:tc>
        <w:tc>
          <w:tcPr>
            <w:tcW w:w="3734" w:type="dxa"/>
          </w:tcPr>
          <w:p w14:paraId="2FB0A046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食源性疾病监测与报告流程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</w:p>
        </w:tc>
        <w:tc>
          <w:tcPr>
            <w:tcW w:w="812" w:type="dxa"/>
          </w:tcPr>
          <w:p w14:paraId="47F5FD8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院内文件、培训</w:t>
            </w:r>
          </w:p>
        </w:tc>
        <w:tc>
          <w:tcPr>
            <w:tcW w:w="1314" w:type="dxa"/>
          </w:tcPr>
          <w:p w14:paraId="09738C12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公共卫生科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后勤保障</w:t>
            </w:r>
          </w:p>
        </w:tc>
        <w:tc>
          <w:tcPr>
            <w:tcW w:w="2178" w:type="dxa"/>
          </w:tcPr>
          <w:p w14:paraId="2B6ED0B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食源性疾病监测与报告流程</w:t>
            </w:r>
          </w:p>
        </w:tc>
      </w:tr>
      <w:tr w14:paraId="0C95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068C34C9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健康科普</w:t>
            </w:r>
          </w:p>
        </w:tc>
        <w:tc>
          <w:tcPr>
            <w:tcW w:w="3734" w:type="dxa"/>
          </w:tcPr>
          <w:p w14:paraId="3CCFF240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疾病防治知识</w:t>
            </w:r>
          </w:p>
          <w:p w14:paraId="3911B224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 健康教育活动计划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3. 健康生活方式倡导</w:t>
            </w:r>
          </w:p>
        </w:tc>
        <w:tc>
          <w:tcPr>
            <w:tcW w:w="812" w:type="dxa"/>
          </w:tcPr>
          <w:p w14:paraId="7FC724C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公众号、电子屏滚动播放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宣传手册、社区活动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讲座、义诊</w:t>
            </w:r>
          </w:p>
        </w:tc>
        <w:tc>
          <w:tcPr>
            <w:tcW w:w="1314" w:type="dxa"/>
          </w:tcPr>
          <w:p w14:paraId="76D95B01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公共卫生科、营养科、感染性疾病科</w:t>
            </w:r>
          </w:p>
        </w:tc>
        <w:tc>
          <w:tcPr>
            <w:tcW w:w="2178" w:type="dxa"/>
          </w:tcPr>
          <w:p w14:paraId="1122C06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病毒性肝炎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、流感防护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手足口病等</w:t>
            </w:r>
          </w:p>
          <w:p w14:paraId="79C2C8C4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</w:t>
            </w: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讲座、义诊</w:t>
            </w:r>
            <w:bookmarkEnd w:id="0"/>
          </w:p>
          <w:p w14:paraId="5070CFC4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3.三减三健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、合理膳食</w:t>
            </w:r>
          </w:p>
        </w:tc>
      </w:tr>
    </w:tbl>
    <w:p w14:paraId="3A793478">
      <w:pPr>
        <w:pStyle w:val="3"/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kern w:val="28"/>
          <w:sz w:val="32"/>
          <w:szCs w:val="32"/>
          <w:lang w:val="en-US" w:eastAsia="en-US" w:bidi="ar-SA"/>
        </w:rPr>
        <w:t>二、政府应急处置措施落实信息公开</w:t>
      </w:r>
    </w:p>
    <w:tbl>
      <w:tblPr>
        <w:tblStyle w:val="33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81"/>
        <w:gridCol w:w="1382"/>
        <w:gridCol w:w="1297"/>
        <w:gridCol w:w="2178"/>
      </w:tblGrid>
      <w:tr w14:paraId="31F5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5C45914F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类别</w:t>
            </w:r>
          </w:p>
        </w:tc>
        <w:tc>
          <w:tcPr>
            <w:tcW w:w="3181" w:type="dxa"/>
          </w:tcPr>
          <w:p w14:paraId="5E1740F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公开内容</w:t>
            </w:r>
          </w:p>
        </w:tc>
        <w:tc>
          <w:tcPr>
            <w:tcW w:w="1382" w:type="dxa"/>
          </w:tcPr>
          <w:p w14:paraId="3E3271C9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公开方式</w:t>
            </w:r>
          </w:p>
        </w:tc>
        <w:tc>
          <w:tcPr>
            <w:tcW w:w="1297" w:type="dxa"/>
          </w:tcPr>
          <w:p w14:paraId="6D1B103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责任部门</w:t>
            </w:r>
          </w:p>
        </w:tc>
        <w:tc>
          <w:tcPr>
            <w:tcW w:w="2178" w:type="dxa"/>
          </w:tcPr>
          <w:p w14:paraId="229D555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依据</w:t>
            </w:r>
          </w:p>
        </w:tc>
      </w:tr>
      <w:tr w14:paraId="2217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4E37C4B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应急组织架构</w:t>
            </w:r>
          </w:p>
        </w:tc>
        <w:tc>
          <w:tcPr>
            <w:tcW w:w="3181" w:type="dxa"/>
          </w:tcPr>
          <w:p w14:paraId="26BFE95A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应急领导小组名单及职责项应急小组</w:t>
            </w:r>
          </w:p>
        </w:tc>
        <w:tc>
          <w:tcPr>
            <w:tcW w:w="1382" w:type="dxa"/>
          </w:tcPr>
          <w:p w14:paraId="45BDE6A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院内公告栏</w:t>
            </w:r>
          </w:p>
        </w:tc>
        <w:tc>
          <w:tcPr>
            <w:tcW w:w="1297" w:type="dxa"/>
          </w:tcPr>
          <w:p w14:paraId="168989E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应急办、公共卫生科</w:t>
            </w:r>
          </w:p>
        </w:tc>
        <w:tc>
          <w:tcPr>
            <w:tcW w:w="2178" w:type="dxa"/>
          </w:tcPr>
          <w:p w14:paraId="77B5A80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院内文件</w:t>
            </w:r>
          </w:p>
        </w:tc>
      </w:tr>
      <w:tr w14:paraId="286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5914CF5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应急预案</w:t>
            </w:r>
          </w:p>
        </w:tc>
        <w:tc>
          <w:tcPr>
            <w:tcW w:w="3181" w:type="dxa"/>
          </w:tcPr>
          <w:p w14:paraId="37AB605F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突发公共卫生事件应急预案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流程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 传染病暴发应急预案</w:t>
            </w:r>
          </w:p>
        </w:tc>
        <w:tc>
          <w:tcPr>
            <w:tcW w:w="1382" w:type="dxa"/>
          </w:tcPr>
          <w:p w14:paraId="01A97BF9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应急演练、培训资料</w:t>
            </w:r>
          </w:p>
        </w:tc>
        <w:tc>
          <w:tcPr>
            <w:tcW w:w="1297" w:type="dxa"/>
          </w:tcPr>
          <w:p w14:paraId="1D45F1E0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应急办、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</w:t>
            </w:r>
          </w:p>
        </w:tc>
        <w:tc>
          <w:tcPr>
            <w:tcW w:w="2178" w:type="dxa"/>
          </w:tcPr>
          <w:p w14:paraId="3E4FB6CE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院内文件</w:t>
            </w:r>
          </w:p>
        </w:tc>
      </w:tr>
      <w:tr w14:paraId="38A2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1B49E7C0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应急资源</w:t>
            </w:r>
          </w:p>
        </w:tc>
        <w:tc>
          <w:tcPr>
            <w:tcW w:w="3181" w:type="dxa"/>
          </w:tcPr>
          <w:p w14:paraId="7666ABF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物资储备清单（防护服、核酸检测试剂、急救药品）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 设备清单</w:t>
            </w:r>
          </w:p>
        </w:tc>
        <w:tc>
          <w:tcPr>
            <w:tcW w:w="1382" w:type="dxa"/>
          </w:tcPr>
          <w:p w14:paraId="3B41B1BE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院内公示栏、后勤保障科物资科查询</w:t>
            </w:r>
          </w:p>
        </w:tc>
        <w:tc>
          <w:tcPr>
            <w:tcW w:w="1297" w:type="dxa"/>
          </w:tcPr>
          <w:p w14:paraId="45B4F904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后勤保障科</w:t>
            </w:r>
          </w:p>
        </w:tc>
        <w:tc>
          <w:tcPr>
            <w:tcW w:w="2178" w:type="dxa"/>
          </w:tcPr>
          <w:p w14:paraId="50637018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院内文件</w:t>
            </w:r>
          </w:p>
        </w:tc>
      </w:tr>
      <w:tr w14:paraId="6714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68C64A21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应急演练</w:t>
            </w:r>
          </w:p>
        </w:tc>
        <w:tc>
          <w:tcPr>
            <w:tcW w:w="3181" w:type="dxa"/>
          </w:tcPr>
          <w:p w14:paraId="617D0709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演练记录</w:t>
            </w:r>
          </w:p>
        </w:tc>
        <w:tc>
          <w:tcPr>
            <w:tcW w:w="1382" w:type="dxa"/>
          </w:tcPr>
          <w:p w14:paraId="0FF7354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演练现场照片、总结通报</w:t>
            </w:r>
          </w:p>
        </w:tc>
        <w:tc>
          <w:tcPr>
            <w:tcW w:w="1297" w:type="dxa"/>
          </w:tcPr>
          <w:p w14:paraId="1C2C6217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应急办、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</w:t>
            </w:r>
          </w:p>
        </w:tc>
        <w:tc>
          <w:tcPr>
            <w:tcW w:w="2178" w:type="dxa"/>
          </w:tcPr>
          <w:p w14:paraId="3FA79F9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脚本、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照片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参与人员、总结</w:t>
            </w:r>
          </w:p>
        </w:tc>
      </w:tr>
      <w:tr w14:paraId="04E9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2E1FE383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信息报告</w:t>
            </w:r>
          </w:p>
        </w:tc>
        <w:tc>
          <w:tcPr>
            <w:tcW w:w="3181" w:type="dxa"/>
          </w:tcPr>
          <w:p w14:paraId="53E2F16B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1. 突发事件上报流程（2小时内报告）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 信息报送记录</w:t>
            </w:r>
          </w:p>
        </w:tc>
        <w:tc>
          <w:tcPr>
            <w:tcW w:w="1382" w:type="dxa"/>
          </w:tcPr>
          <w:p w14:paraId="2C434D3A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数据、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文件平台报送</w:t>
            </w:r>
          </w:p>
        </w:tc>
        <w:tc>
          <w:tcPr>
            <w:tcW w:w="1297" w:type="dxa"/>
          </w:tcPr>
          <w:p w14:paraId="559FF665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医务科、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公共卫生科</w:t>
            </w:r>
          </w:p>
        </w:tc>
        <w:tc>
          <w:tcPr>
            <w:tcW w:w="2178" w:type="dxa"/>
          </w:tcPr>
          <w:p w14:paraId="372C80AC">
            <w:pPr>
              <w:spacing w:after="0" w:line="24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疫情日报</w:t>
            </w:r>
          </w:p>
        </w:tc>
      </w:tr>
    </w:tbl>
    <w:p w14:paraId="46874DC5">
      <w:r>
        <w:t xml:space="preserve">   </w:t>
      </w:r>
    </w:p>
    <w:p w14:paraId="6E2E87C3">
      <w:pPr>
        <w:jc w:val="both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AA35E-9430-445E-B053-CDED1EE51B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  <w:embedRegular r:id="rId2" w:fontKey="{6A5526D6-E45D-4757-9770-5E9B16F3C533}"/>
  </w:font>
  <w:font w:name="ＭＳ 明朝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84FA15E-63A3-4DD4-B742-2F4B709483E4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869A043-AC93-4C50-BDEB-37B04E1EA3B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69294B2B"/>
    <w:multiLevelType w:val="singleLevel"/>
    <w:tmpl w:val="69294B2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9294DEE"/>
    <w:multiLevelType w:val="singleLevel"/>
    <w:tmpl w:val="69294DEE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929525F"/>
    <w:multiLevelType w:val="singleLevel"/>
    <w:tmpl w:val="6929525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AF0CB4"/>
    <w:rsid w:val="1CE63CF9"/>
    <w:rsid w:val="398A32F4"/>
    <w:rsid w:val="3D482D9A"/>
    <w:rsid w:val="48082A93"/>
    <w:rsid w:val="73DE2426"/>
    <w:rsid w:val="765816FB"/>
    <w:rsid w:val="771D4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unhideWhenUsed/>
    <w:qFormat/>
    <w:uiPriority w:val="1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1163</Characters>
  <Lines>0</Lines>
  <Paragraphs>0</Paragraphs>
  <TotalTime>2</TotalTime>
  <ScaleCrop>false</ScaleCrop>
  <LinksUpToDate>false</LinksUpToDate>
  <CharactersWithSpaces>1177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奥利弗</cp:lastModifiedBy>
  <dcterms:modified xsi:type="dcterms:W3CDTF">2025-11-28T09:38:50Z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{"Label":"1","ContentProducer":"001191440300708461136T1IVWN","ProduceID":"dcdc7e7ed2ea074ee0f97187e2c5c509-a0000da34516e69cd02ab2786ad922e4","ReservedCode1":"{\"Type\":\" TC260PG\",\"Version\":1,\"Bindings\":[{\"Type\":\"soft\",\"AlgID\":\"sm3\",\"Value\":\"522e0a11aaa52902ad2893e2ee8c860b4759d4fa2a87b5ae5e46c99905cbc178\"},{\"Type\":\"hash\",\"AlgID\":\"sm3\",\"Value\":\"dde834df2177473e2e39614a69930fa3ba5d45c86f615ffb652eee0eb0e9b54c\"}],\"PubSD\":[{\"Type\":\"DS\",\"AlgID\":\"sm2\",\"TBSData\":{\"Type\":\"Binding\",\"BType\":\"hash\"},\"Signature\":\"304502203bbf94c604b19e02dfd389dfe0549fb46467e6b77fcca253a7b276b98d1ac389022100d622d5146cb35bdd8665f9c05ff02e9f1b79ab73b000e15ad19f285050295960\"},{\"Type\":\"PubKey\",\"AlgID\":\"sm2\",\"KeyValue\":\"0407f79b28a17a752b3aae4305c98b48978213832729a2571850b1310b2bc9fe8fee039ccf25ebfeac27502414d9fcef792d777183c98893d226171c2f7a3289a2\"}],\"Extension\":{\"Timestamp\":1764313218,\"KeyVersion\":\"v1-Owd2uMESYLo311\"}}","ContentPropagator":"001191440300708461136T1IVWN","PropagateID":"dcdc7e7ed2ea074ee0f97187e2c5c509-a0000da34516e69cd02ab2786ad922e4","ReservedCode2":"{\"Type\":\" TC260PG\",\"Version\":1,\"Bindings\":[{\"Type\":\"soft\",\"AlgID\":\"sm3\",\"Value\":\"522e0a11aaa52902ad2893e2ee8c860b4759d4fa2a87b5ae5e46c99905cbc178\"},{\"Type\":\"hash\",\"AlgID\":\"sm3\",\"Value\":\"dde834df2177473e2e39614a69930fa3ba5d45c86f615ffb652eee0eb0e9b54c\"}],\"PubSD\":[{\"Type\":\"DS\",\"AlgID\":\"sm2\",\"TBSData\":{\"Type\":\"Binding\",\"BType\":\"hash\"},\"Signature\":\"3046022100bd44eec336bc4f7588abca3b64694efb999d80da9dabf59d9be496c6183cf470022100ce54aa1902f5dea3bdfe4a73b97dd3c7e4af9b38c7fd803cfa9fe0ab59d16a9b\"},{\"Type\":\"PubKey\",\"AlgID\":\"sm2\",\"KeyValue\":\"0407f79b28a17a752b3aae4305c98b48978213832729a2571850b1310b2bc9fe8fee039ccf25ebfeac27502414d9fcef792d777183c98893d226171c2f7a3289a2\"}],\"Extension\":{\"Timestamp\":1764313218,\"KeyVersion\":\"v1-Owd2uMESYLo311\"}}"}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eyJoZGlkIjoiZWUwOGUwODkzNDFiYjQ3MzFmNTMyMWZlYmE3NTU4YTQiLCJ1c2VySWQiOiI0ODIyMTc4ODUifQ==</vt:lpwstr>
  </property>
  <property fmtid="{D5CDD505-2E9C-101B-9397-08002B2CF9AE}" pid="5" name="ICV">
    <vt:lpwstr>EC1BEBB4D1F44E589E6CBE1B98845582_13</vt:lpwstr>
  </property>
</Properties>
</file>