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6F00C6">
      <w:pPr>
        <w:keepNext w:val="0"/>
        <w:keepLines w:val="0"/>
        <w:pageBreakBefore w:val="0"/>
        <w:widowControl w:val="0"/>
        <w:kinsoku/>
        <w:wordWrap/>
        <w:overflowPunct/>
        <w:topLinePunct w:val="0"/>
        <w:autoSpaceDE/>
        <w:autoSpaceDN/>
        <w:bidi w:val="0"/>
        <w:adjustRightInd/>
        <w:snapToGrid/>
        <w:spacing w:after="0" w:line="590" w:lineRule="exact"/>
        <w:textAlignment w:val="auto"/>
        <w:rPr>
          <w:rFonts w:hint="eastAsia" w:ascii="宋体" w:hAnsi="宋体" w:eastAsia="宋体" w:cs="宋体"/>
          <w:color w:val="auto"/>
          <w:sz w:val="32"/>
          <w:szCs w:val="32"/>
        </w:rPr>
      </w:pPr>
      <w:bookmarkStart w:id="0" w:name="三组织实施"/>
    </w:p>
    <w:p w14:paraId="76C6493D">
      <w:pPr>
        <w:keepNext w:val="0"/>
        <w:keepLines w:val="0"/>
        <w:pageBreakBefore w:val="0"/>
        <w:widowControl w:val="0"/>
        <w:kinsoku/>
        <w:wordWrap/>
        <w:overflowPunct/>
        <w:topLinePunct w:val="0"/>
        <w:autoSpaceDE/>
        <w:autoSpaceDN/>
        <w:bidi w:val="0"/>
        <w:adjustRightInd/>
        <w:snapToGrid/>
        <w:spacing w:after="0" w:line="590" w:lineRule="exact"/>
        <w:textAlignment w:val="auto"/>
        <w:rPr>
          <w:rFonts w:hint="eastAsia" w:ascii="宋体" w:hAnsi="宋体" w:eastAsia="宋体" w:cs="宋体"/>
          <w:color w:val="auto"/>
          <w:sz w:val="32"/>
          <w:szCs w:val="32"/>
        </w:rPr>
      </w:pPr>
    </w:p>
    <w:p w14:paraId="6D0E35A8">
      <w:pPr>
        <w:keepNext w:val="0"/>
        <w:keepLines w:val="0"/>
        <w:pageBreakBefore w:val="0"/>
        <w:widowControl w:val="0"/>
        <w:kinsoku/>
        <w:wordWrap/>
        <w:overflowPunct/>
        <w:topLinePunct w:val="0"/>
        <w:autoSpaceDE/>
        <w:autoSpaceDN/>
        <w:bidi w:val="0"/>
        <w:adjustRightInd/>
        <w:snapToGrid/>
        <w:spacing w:after="0" w:line="590" w:lineRule="exact"/>
        <w:jc w:val="center"/>
        <w:textAlignment w:val="auto"/>
        <w:rPr>
          <w:rFonts w:hint="eastAsia" w:ascii="方正小标宋_GBK" w:hAnsi="方正小标宋_GBK" w:eastAsia="方正小标宋_GBK" w:cs="方正小标宋_GBK"/>
          <w:color w:val="auto"/>
          <w:sz w:val="44"/>
          <w:szCs w:val="44"/>
          <w:lang w:eastAsia="zh-CN"/>
        </w:rPr>
      </w:pPr>
      <w:r>
        <w:rPr>
          <w:rFonts w:hint="eastAsia" w:ascii="方正小标宋_GBK" w:hAnsi="方正小标宋_GBK" w:eastAsia="方正小标宋_GBK" w:cs="方正小标宋_GBK"/>
          <w:color w:val="auto"/>
          <w:sz w:val="44"/>
          <w:szCs w:val="44"/>
          <w:lang w:eastAsia="zh-CN"/>
        </w:rPr>
        <w:t>关于印发《2025年南阳市适龄人群人乳头瘤病毒疫苗和带状疱疹疫苗接种惠民项目实施方案》的通知</w:t>
      </w:r>
    </w:p>
    <w:p w14:paraId="552D6EC2">
      <w:pPr>
        <w:keepNext w:val="0"/>
        <w:keepLines w:val="0"/>
        <w:pageBreakBefore w:val="0"/>
        <w:widowControl w:val="0"/>
        <w:kinsoku/>
        <w:wordWrap/>
        <w:overflowPunct/>
        <w:topLinePunct w:val="0"/>
        <w:autoSpaceDE/>
        <w:autoSpaceDN/>
        <w:bidi w:val="0"/>
        <w:adjustRightInd/>
        <w:snapToGrid/>
        <w:spacing w:after="0" w:line="590" w:lineRule="exact"/>
        <w:textAlignment w:val="auto"/>
        <w:rPr>
          <w:rFonts w:hint="eastAsia" w:ascii="仿宋" w:hAnsi="仿宋" w:eastAsia="仿宋" w:cs="仿宋"/>
          <w:color w:val="auto"/>
          <w:spacing w:val="-5"/>
          <w:sz w:val="32"/>
          <w:szCs w:val="32"/>
          <w:lang w:eastAsia="zh-CN"/>
        </w:rPr>
      </w:pPr>
    </w:p>
    <w:p w14:paraId="4AFEE4B7">
      <w:pPr>
        <w:keepNext w:val="0"/>
        <w:keepLines w:val="0"/>
        <w:pageBreakBefore w:val="0"/>
        <w:widowControl w:val="0"/>
        <w:kinsoku/>
        <w:wordWrap/>
        <w:overflowPunct/>
        <w:topLinePunct w:val="0"/>
        <w:autoSpaceDE/>
        <w:autoSpaceDN/>
        <w:bidi w:val="0"/>
        <w:adjustRightInd/>
        <w:snapToGrid/>
        <w:spacing w:after="0" w:line="590" w:lineRule="exact"/>
        <w:textAlignment w:val="auto"/>
        <w:rPr>
          <w:rFonts w:ascii="Times New Roman" w:hAnsi="Times New Roman" w:eastAsia="仿宋_GB2312" w:cs="仿宋_GB2312"/>
          <w:color w:val="auto"/>
          <w:spacing w:val="-5"/>
          <w:sz w:val="32"/>
          <w:szCs w:val="32"/>
          <w:lang w:eastAsia="zh-CN"/>
        </w:rPr>
      </w:pPr>
      <w:r>
        <w:rPr>
          <w:rFonts w:hint="eastAsia" w:ascii="Times New Roman" w:hAnsi="Times New Roman" w:eastAsia="仿宋_GB2312" w:cs="仿宋_GB2312"/>
          <w:color w:val="auto"/>
          <w:spacing w:val="-5"/>
          <w:sz w:val="32"/>
          <w:szCs w:val="32"/>
          <w:lang w:eastAsia="zh-CN"/>
        </w:rPr>
        <w:t>各县（市、区）卫生健康委（卫健中心）、市疾病预防控制中心：</w:t>
      </w:r>
    </w:p>
    <w:p w14:paraId="2F990AF6">
      <w:pPr>
        <w:keepNext w:val="0"/>
        <w:keepLines w:val="0"/>
        <w:pageBreakBefore w:val="0"/>
        <w:widowControl w:val="0"/>
        <w:kinsoku/>
        <w:wordWrap/>
        <w:overflowPunct/>
        <w:topLinePunct w:val="0"/>
        <w:autoSpaceDE/>
        <w:autoSpaceDN/>
        <w:bidi w:val="0"/>
        <w:adjustRightInd/>
        <w:snapToGrid/>
        <w:spacing w:after="0" w:line="590" w:lineRule="exact"/>
        <w:ind w:firstLine="640" w:firstLineChars="200"/>
        <w:textAlignment w:val="auto"/>
        <w:rPr>
          <w:rFonts w:ascii="Times New Roman" w:hAnsi="Times New Roman" w:eastAsia="仿宋_GB2312" w:cs="仿宋_GB2312"/>
          <w:color w:val="auto"/>
          <w:sz w:val="32"/>
          <w:szCs w:val="32"/>
          <w:lang w:eastAsia="zh-CN"/>
        </w:rPr>
      </w:pPr>
      <w:r>
        <w:rPr>
          <w:rFonts w:hint="eastAsia" w:ascii="Times New Roman" w:hAnsi="Times New Roman" w:eastAsia="仿宋_GB2312" w:cs="仿宋_GB2312"/>
          <w:color w:val="auto"/>
          <w:kern w:val="2"/>
          <w:sz w:val="32"/>
          <w:szCs w:val="32"/>
          <w:lang w:eastAsia="zh-CN"/>
        </w:rPr>
        <w:t>为加快我市宫颈癌消除进程，加强带状疱疹防控工作，2025年我市将实施适龄人群人乳头瘤病毒疫苗</w:t>
      </w:r>
      <w:r>
        <w:rPr>
          <w:rFonts w:hint="eastAsia" w:ascii="Times New Roman" w:hAnsi="Times New Roman" w:eastAsia="仿宋_GB2312" w:cs="仿宋_GB2312"/>
          <w:color w:val="auto"/>
          <w:spacing w:val="-5"/>
          <w:sz w:val="32"/>
          <w:szCs w:val="32"/>
          <w:lang w:eastAsia="zh-CN"/>
        </w:rPr>
        <w:t>（以下简称“HPV”疫苗）</w:t>
      </w:r>
      <w:r>
        <w:rPr>
          <w:rFonts w:hint="eastAsia" w:ascii="Times New Roman" w:hAnsi="Times New Roman" w:eastAsia="仿宋_GB2312" w:cs="仿宋_GB2312"/>
          <w:color w:val="auto"/>
          <w:kern w:val="2"/>
          <w:sz w:val="32"/>
          <w:szCs w:val="32"/>
          <w:lang w:eastAsia="zh-CN"/>
        </w:rPr>
        <w:t>和带状疱疹疫苗接种惠民项目。为确保项目顺利开展，市卫健体委制定了《2025年南阳市适龄人群人乳头瘤病毒疫苗和带状疱疹疫苗接种惠民项目实施方案》，现印发给你们，请遵照执行。</w:t>
      </w:r>
    </w:p>
    <w:p w14:paraId="1D4647FA">
      <w:pPr>
        <w:pStyle w:val="28"/>
        <w:keepNext w:val="0"/>
        <w:keepLines w:val="0"/>
        <w:pageBreakBefore w:val="0"/>
        <w:widowControl w:val="0"/>
        <w:kinsoku/>
        <w:wordWrap/>
        <w:overflowPunct/>
        <w:topLinePunct w:val="0"/>
        <w:autoSpaceDE/>
        <w:autoSpaceDN/>
        <w:bidi w:val="0"/>
        <w:adjustRightInd/>
        <w:snapToGrid/>
        <w:spacing w:after="0" w:line="590" w:lineRule="exact"/>
        <w:ind w:firstLine="0" w:firstLineChars="0"/>
        <w:textAlignment w:val="auto"/>
        <w:rPr>
          <w:rFonts w:ascii="Times New Roman" w:hAnsi="Times New Roman" w:eastAsia="仿宋_GB2312" w:cs="仿宋_GB2312"/>
          <w:color w:val="auto"/>
          <w:sz w:val="32"/>
          <w:szCs w:val="32"/>
          <w:lang w:eastAsia="zh-CN"/>
        </w:rPr>
      </w:pPr>
    </w:p>
    <w:p w14:paraId="2731A3C8">
      <w:pPr>
        <w:pStyle w:val="28"/>
        <w:keepNext w:val="0"/>
        <w:keepLines w:val="0"/>
        <w:pageBreakBefore w:val="0"/>
        <w:widowControl w:val="0"/>
        <w:kinsoku/>
        <w:wordWrap/>
        <w:overflowPunct/>
        <w:topLinePunct w:val="0"/>
        <w:autoSpaceDE/>
        <w:autoSpaceDN/>
        <w:bidi w:val="0"/>
        <w:adjustRightInd/>
        <w:snapToGrid/>
        <w:spacing w:after="0" w:line="590" w:lineRule="exact"/>
        <w:ind w:firstLine="0" w:firstLineChars="0"/>
        <w:textAlignment w:val="auto"/>
        <w:rPr>
          <w:rFonts w:ascii="Times New Roman" w:hAnsi="Times New Roman" w:eastAsia="仿宋_GB2312" w:cs="仿宋_GB2312"/>
          <w:color w:val="auto"/>
          <w:sz w:val="32"/>
          <w:szCs w:val="32"/>
          <w:lang w:eastAsia="zh-CN"/>
        </w:rPr>
      </w:pPr>
    </w:p>
    <w:p w14:paraId="1945F71A">
      <w:pPr>
        <w:keepNext w:val="0"/>
        <w:keepLines w:val="0"/>
        <w:pageBreakBefore w:val="0"/>
        <w:widowControl w:val="0"/>
        <w:kinsoku/>
        <w:wordWrap/>
        <w:overflowPunct/>
        <w:topLinePunct w:val="0"/>
        <w:autoSpaceDE/>
        <w:autoSpaceDN/>
        <w:bidi w:val="0"/>
        <w:adjustRightInd/>
        <w:snapToGrid/>
        <w:spacing w:after="0" w:line="590" w:lineRule="exact"/>
        <w:ind w:firstLine="4392" w:firstLineChars="1200"/>
        <w:textAlignment w:val="auto"/>
        <w:rPr>
          <w:rFonts w:hint="default"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pacing w:val="23"/>
          <w:sz w:val="32"/>
          <w:szCs w:val="32"/>
          <w:lang w:eastAsia="zh-CN"/>
        </w:rPr>
        <w:t>南阳市</w:t>
      </w:r>
      <w:r>
        <w:rPr>
          <w:rFonts w:hint="eastAsia" w:ascii="Times New Roman" w:hAnsi="Times New Roman" w:eastAsia="仿宋_GB2312" w:cs="仿宋_GB2312"/>
          <w:color w:val="auto"/>
          <w:spacing w:val="23"/>
          <w:sz w:val="32"/>
          <w:szCs w:val="32"/>
          <w:lang w:val="en-US" w:eastAsia="zh-CN"/>
        </w:rPr>
        <w:t>卫生健康体育委员会</w:t>
      </w:r>
    </w:p>
    <w:p w14:paraId="2C255A97">
      <w:pPr>
        <w:keepNext w:val="0"/>
        <w:keepLines w:val="0"/>
        <w:pageBreakBefore w:val="0"/>
        <w:widowControl w:val="0"/>
        <w:kinsoku/>
        <w:wordWrap/>
        <w:overflowPunct/>
        <w:topLinePunct w:val="0"/>
        <w:autoSpaceDE/>
        <w:autoSpaceDN/>
        <w:bidi w:val="0"/>
        <w:adjustRightInd/>
        <w:snapToGrid/>
        <w:spacing w:after="0" w:line="590" w:lineRule="exact"/>
        <w:ind w:left="640" w:hanging="640" w:hangingChars="200"/>
        <w:jc w:val="center"/>
        <w:textAlignment w:val="auto"/>
        <w:rPr>
          <w:rFonts w:hint="eastAsia" w:ascii="Times New Roman" w:hAnsi="Times New Roman" w:eastAsia="仿宋_GB2312" w:cs="仿宋_GB2312"/>
          <w:color w:val="auto"/>
          <w:sz w:val="32"/>
          <w:szCs w:val="32"/>
          <w:lang w:eastAsia="zh-CN"/>
        </w:rPr>
      </w:pPr>
      <w:r>
        <w:rPr>
          <w:rFonts w:hint="eastAsia" w:ascii="Times New Roman" w:hAnsi="Times New Roman" w:eastAsia="仿宋_GB2312" w:cs="仿宋_GB2312"/>
          <w:color w:val="auto"/>
          <w:sz w:val="32"/>
          <w:szCs w:val="32"/>
          <w:lang w:eastAsia="zh-CN"/>
        </w:rPr>
        <w:t xml:space="preserve">                                                   2025年5月</w:t>
      </w:r>
      <w:r>
        <w:rPr>
          <w:rFonts w:hint="eastAsia" w:ascii="Times New Roman" w:hAnsi="Times New Roman" w:eastAsia="仿宋_GB2312" w:cs="仿宋_GB2312"/>
          <w:color w:val="auto"/>
          <w:sz w:val="32"/>
          <w:szCs w:val="32"/>
          <w:lang w:val="en-US" w:eastAsia="zh-CN"/>
        </w:rPr>
        <w:t>30</w:t>
      </w:r>
      <w:r>
        <w:rPr>
          <w:rFonts w:hint="eastAsia" w:ascii="Times New Roman" w:hAnsi="Times New Roman" w:eastAsia="仿宋_GB2312" w:cs="仿宋_GB2312"/>
          <w:color w:val="auto"/>
          <w:sz w:val="32"/>
          <w:szCs w:val="32"/>
          <w:lang w:eastAsia="zh-CN"/>
        </w:rPr>
        <w:t>日</w:t>
      </w:r>
    </w:p>
    <w:p w14:paraId="51E10A66">
      <w:pPr>
        <w:keepNext w:val="0"/>
        <w:keepLines w:val="0"/>
        <w:pageBreakBefore w:val="0"/>
        <w:widowControl w:val="0"/>
        <w:kinsoku/>
        <w:wordWrap/>
        <w:overflowPunct/>
        <w:topLinePunct w:val="0"/>
        <w:autoSpaceDE/>
        <w:autoSpaceDN/>
        <w:bidi w:val="0"/>
        <w:adjustRightInd/>
        <w:snapToGrid/>
        <w:spacing w:after="0" w:line="590" w:lineRule="exact"/>
        <w:ind w:left="640" w:hanging="640" w:hangingChars="200"/>
        <w:jc w:val="center"/>
        <w:textAlignment w:val="auto"/>
        <w:rPr>
          <w:rFonts w:hint="eastAsia" w:ascii="Times New Roman" w:hAnsi="Times New Roman" w:eastAsia="仿宋_GB2312" w:cs="仿宋_GB2312"/>
          <w:color w:val="auto"/>
          <w:sz w:val="32"/>
          <w:szCs w:val="32"/>
          <w:lang w:eastAsia="zh-CN"/>
        </w:rPr>
      </w:pPr>
    </w:p>
    <w:p w14:paraId="7B2E0075">
      <w:pPr>
        <w:keepNext w:val="0"/>
        <w:keepLines w:val="0"/>
        <w:pageBreakBefore w:val="0"/>
        <w:widowControl w:val="0"/>
        <w:kinsoku/>
        <w:wordWrap/>
        <w:overflowPunct/>
        <w:topLinePunct w:val="0"/>
        <w:autoSpaceDE/>
        <w:autoSpaceDN/>
        <w:bidi w:val="0"/>
        <w:adjustRightInd/>
        <w:snapToGrid/>
        <w:spacing w:after="0" w:line="590" w:lineRule="exact"/>
        <w:ind w:left="640" w:hanging="640" w:hangingChars="200"/>
        <w:jc w:val="center"/>
        <w:textAlignment w:val="auto"/>
        <w:rPr>
          <w:rFonts w:hint="eastAsia" w:ascii="Times New Roman" w:hAnsi="Times New Roman" w:eastAsia="仿宋_GB2312" w:cs="仿宋_GB2312"/>
          <w:color w:val="auto"/>
          <w:sz w:val="32"/>
          <w:szCs w:val="32"/>
          <w:lang w:eastAsia="zh-CN"/>
        </w:rPr>
      </w:pPr>
    </w:p>
    <w:p w14:paraId="22644F2C">
      <w:pPr>
        <w:keepNext w:val="0"/>
        <w:keepLines w:val="0"/>
        <w:pageBreakBefore w:val="0"/>
        <w:widowControl w:val="0"/>
        <w:kinsoku/>
        <w:wordWrap/>
        <w:overflowPunct/>
        <w:topLinePunct w:val="0"/>
        <w:autoSpaceDE/>
        <w:autoSpaceDN/>
        <w:bidi w:val="0"/>
        <w:adjustRightInd/>
        <w:snapToGrid/>
        <w:spacing w:after="0" w:line="590" w:lineRule="exact"/>
        <w:ind w:left="640" w:hanging="640" w:hangingChars="200"/>
        <w:jc w:val="center"/>
        <w:textAlignment w:val="auto"/>
        <w:rPr>
          <w:rFonts w:hint="eastAsia" w:ascii="Times New Roman" w:hAnsi="Times New Roman" w:eastAsia="仿宋_GB2312" w:cs="仿宋_GB2312"/>
          <w:color w:val="auto"/>
          <w:sz w:val="32"/>
          <w:szCs w:val="32"/>
          <w:lang w:eastAsia="zh-CN"/>
        </w:rPr>
      </w:pPr>
    </w:p>
    <w:p w14:paraId="5A92334A">
      <w:pPr>
        <w:keepNext w:val="0"/>
        <w:keepLines w:val="0"/>
        <w:pageBreakBefore w:val="0"/>
        <w:widowControl w:val="0"/>
        <w:kinsoku/>
        <w:wordWrap/>
        <w:overflowPunct/>
        <w:topLinePunct w:val="0"/>
        <w:autoSpaceDE/>
        <w:autoSpaceDN/>
        <w:bidi w:val="0"/>
        <w:adjustRightInd/>
        <w:snapToGrid/>
        <w:spacing w:after="0" w:line="590" w:lineRule="exact"/>
        <w:ind w:left="640" w:hanging="640" w:hangingChars="200"/>
        <w:jc w:val="center"/>
        <w:textAlignment w:val="auto"/>
        <w:rPr>
          <w:rFonts w:hint="eastAsia" w:ascii="Times New Roman" w:hAnsi="Times New Roman" w:eastAsia="仿宋_GB2312" w:cs="仿宋_GB2312"/>
          <w:color w:val="auto"/>
          <w:sz w:val="32"/>
          <w:szCs w:val="32"/>
          <w:lang w:eastAsia="zh-CN"/>
        </w:rPr>
      </w:pPr>
    </w:p>
    <w:p w14:paraId="772E1117">
      <w:pPr>
        <w:pStyle w:val="28"/>
        <w:keepNext w:val="0"/>
        <w:keepLines w:val="0"/>
        <w:pageBreakBefore w:val="0"/>
        <w:widowControl w:val="0"/>
        <w:kinsoku/>
        <w:wordWrap/>
        <w:overflowPunct/>
        <w:topLinePunct w:val="0"/>
        <w:autoSpaceDE/>
        <w:autoSpaceDN/>
        <w:bidi w:val="0"/>
        <w:adjustRightInd/>
        <w:snapToGrid/>
        <w:spacing w:after="0" w:line="590" w:lineRule="exact"/>
        <w:ind w:firstLine="0" w:firstLineChars="0"/>
        <w:jc w:val="center"/>
        <w:textAlignment w:val="auto"/>
        <w:rPr>
          <w:rFonts w:hint="eastAsia" w:ascii="方正小标宋_GBK" w:hAnsi="方正小标宋_GBK" w:eastAsia="方正小标宋_GBK" w:cs="方正小标宋_GBK"/>
          <w:bCs/>
          <w:color w:val="auto"/>
          <w:sz w:val="44"/>
          <w:szCs w:val="44"/>
          <w:lang w:eastAsia="zh-CN"/>
        </w:rPr>
      </w:pPr>
      <w:r>
        <w:rPr>
          <w:rFonts w:hint="eastAsia" w:ascii="方正小标宋_GBK" w:hAnsi="方正小标宋_GBK" w:eastAsia="方正小标宋_GBK" w:cs="方正小标宋_GBK"/>
          <w:bCs/>
          <w:color w:val="auto"/>
          <w:sz w:val="44"/>
          <w:szCs w:val="44"/>
          <w:lang w:eastAsia="zh-CN"/>
        </w:rPr>
        <w:t>2025年南阳市适龄人群人乳头瘤病毒疫苗和带状疱疹疫苗接种惠民项目实施方案</w:t>
      </w:r>
    </w:p>
    <w:p w14:paraId="3D528EB3">
      <w:pPr>
        <w:pStyle w:val="28"/>
        <w:keepNext w:val="0"/>
        <w:keepLines w:val="0"/>
        <w:pageBreakBefore w:val="0"/>
        <w:widowControl w:val="0"/>
        <w:kinsoku/>
        <w:wordWrap/>
        <w:overflowPunct/>
        <w:topLinePunct w:val="0"/>
        <w:autoSpaceDE/>
        <w:autoSpaceDN/>
        <w:bidi w:val="0"/>
        <w:adjustRightInd/>
        <w:snapToGrid/>
        <w:spacing w:after="0" w:line="590" w:lineRule="exact"/>
        <w:ind w:firstLine="0" w:firstLineChars="0"/>
        <w:jc w:val="center"/>
        <w:textAlignment w:val="auto"/>
        <w:rPr>
          <w:rFonts w:ascii="Times New Roman" w:hAnsi="Times New Roman" w:eastAsia="方正小标宋_GBK" w:cs="方正小标宋_GBK"/>
          <w:bCs/>
          <w:color w:val="auto"/>
          <w:sz w:val="44"/>
          <w:szCs w:val="44"/>
          <w:lang w:eastAsia="zh-CN"/>
        </w:rPr>
      </w:pPr>
    </w:p>
    <w:p w14:paraId="23393FDF">
      <w:pPr>
        <w:pStyle w:val="28"/>
        <w:keepNext w:val="0"/>
        <w:keepLines w:val="0"/>
        <w:pageBreakBefore w:val="0"/>
        <w:widowControl w:val="0"/>
        <w:kinsoku/>
        <w:wordWrap/>
        <w:overflowPunct/>
        <w:topLinePunct w:val="0"/>
        <w:autoSpaceDE/>
        <w:autoSpaceDN/>
        <w:bidi w:val="0"/>
        <w:adjustRightInd/>
        <w:snapToGrid/>
        <w:spacing w:after="0" w:line="590" w:lineRule="exact"/>
        <w:ind w:firstLine="640"/>
        <w:textAlignment w:val="auto"/>
        <w:rPr>
          <w:rFonts w:ascii="Times New Roman" w:hAnsi="Times New Roman" w:eastAsia="仿宋_GB2312" w:cs="仿宋_GB2312"/>
          <w:color w:val="auto"/>
          <w:kern w:val="2"/>
          <w:sz w:val="32"/>
          <w:szCs w:val="32"/>
          <w:lang w:eastAsia="zh-CN"/>
        </w:rPr>
      </w:pPr>
      <w:r>
        <w:rPr>
          <w:rFonts w:hint="eastAsia" w:ascii="Times New Roman" w:hAnsi="Times New Roman" w:eastAsia="仿宋_GB2312" w:cs="仿宋_GB2312"/>
          <w:color w:val="auto"/>
          <w:kern w:val="2"/>
          <w:sz w:val="32"/>
          <w:szCs w:val="32"/>
          <w:lang w:eastAsia="zh-CN"/>
        </w:rPr>
        <w:t>为贯彻《“健康中国2030”规划纲要》《河南省加速消除宫颈癌行动实施方案（2023—2030年）》，落实《关于印发2025年全市疾病预防控制工作要点的通知》（宛卫疾控〔2025〕1号）精神，推进</w:t>
      </w:r>
      <w:r>
        <w:rPr>
          <w:rFonts w:hint="eastAsia" w:ascii="Times New Roman" w:hAnsi="Times New Roman" w:eastAsia="仿宋_GB2312" w:cs="仿宋_GB2312"/>
          <w:color w:val="auto"/>
          <w:spacing w:val="-5"/>
          <w:sz w:val="32"/>
          <w:szCs w:val="32"/>
          <w:lang w:eastAsia="zh-CN"/>
        </w:rPr>
        <w:t>HPV</w:t>
      </w:r>
      <w:r>
        <w:rPr>
          <w:rFonts w:hint="eastAsia" w:ascii="Times New Roman" w:hAnsi="Times New Roman" w:eastAsia="仿宋_GB2312" w:cs="仿宋_GB2312"/>
          <w:color w:val="auto"/>
          <w:kern w:val="2"/>
          <w:sz w:val="32"/>
          <w:szCs w:val="32"/>
          <w:lang w:eastAsia="zh-CN"/>
        </w:rPr>
        <w:t>感染相关疾病和带状疱疹的综合防控工作，提升适龄人群疫苗接种覆盖率，特制定本实施方案。</w:t>
      </w:r>
    </w:p>
    <w:p w14:paraId="6654157E">
      <w:pPr>
        <w:keepNext w:val="0"/>
        <w:keepLines w:val="0"/>
        <w:pageBreakBefore w:val="0"/>
        <w:widowControl w:val="0"/>
        <w:kinsoku/>
        <w:wordWrap/>
        <w:overflowPunct/>
        <w:topLinePunct w:val="0"/>
        <w:autoSpaceDE/>
        <w:autoSpaceDN/>
        <w:bidi w:val="0"/>
        <w:adjustRightInd/>
        <w:snapToGrid/>
        <w:spacing w:after="0" w:line="590" w:lineRule="exact"/>
        <w:ind w:firstLine="620" w:firstLineChars="200"/>
        <w:textAlignment w:val="auto"/>
        <w:rPr>
          <w:rFonts w:hint="eastAsia" w:ascii="黑体" w:hAnsi="黑体" w:eastAsia="黑体" w:cs="黑体"/>
          <w:color w:val="auto"/>
          <w:spacing w:val="-5"/>
          <w:sz w:val="32"/>
          <w:szCs w:val="32"/>
          <w:lang w:eastAsia="zh-CN"/>
        </w:rPr>
      </w:pPr>
      <w:r>
        <w:rPr>
          <w:rFonts w:hint="eastAsia" w:ascii="黑体" w:hAnsi="黑体" w:eastAsia="黑体" w:cs="黑体"/>
          <w:color w:val="auto"/>
          <w:spacing w:val="-5"/>
          <w:sz w:val="32"/>
          <w:szCs w:val="32"/>
          <w:lang w:eastAsia="zh-CN"/>
        </w:rPr>
        <w:t>一、工作目标</w:t>
      </w:r>
    </w:p>
    <w:p w14:paraId="42C9678D">
      <w:pPr>
        <w:pStyle w:val="28"/>
        <w:keepNext w:val="0"/>
        <w:keepLines w:val="0"/>
        <w:pageBreakBefore w:val="0"/>
        <w:widowControl w:val="0"/>
        <w:kinsoku/>
        <w:wordWrap/>
        <w:overflowPunct/>
        <w:topLinePunct w:val="0"/>
        <w:autoSpaceDE/>
        <w:autoSpaceDN/>
        <w:bidi w:val="0"/>
        <w:adjustRightInd/>
        <w:snapToGrid/>
        <w:spacing w:after="0" w:line="590" w:lineRule="exact"/>
        <w:ind w:firstLine="640"/>
        <w:textAlignment w:val="auto"/>
        <w:rPr>
          <w:rFonts w:ascii="Times New Roman" w:hAnsi="Times New Roman" w:eastAsia="仿宋_GB2312" w:cs="仿宋_GB2312"/>
          <w:color w:val="auto"/>
          <w:kern w:val="2"/>
          <w:sz w:val="32"/>
          <w:szCs w:val="32"/>
          <w:lang w:eastAsia="zh-CN"/>
        </w:rPr>
      </w:pPr>
      <w:r>
        <w:rPr>
          <w:rFonts w:hint="eastAsia" w:ascii="Times New Roman" w:hAnsi="Times New Roman" w:eastAsia="仿宋_GB2312" w:cs="仿宋_GB2312"/>
          <w:color w:val="auto"/>
          <w:kern w:val="2"/>
          <w:sz w:val="32"/>
          <w:szCs w:val="32"/>
          <w:lang w:eastAsia="zh-CN"/>
        </w:rPr>
        <w:t>坚持预防为主的卫生与健康工作方针，按照“政府主导、部门协同、社会参与”的工作原则，积极稳妥做好2025年适龄人群</w:t>
      </w:r>
      <w:r>
        <w:rPr>
          <w:rFonts w:hint="eastAsia" w:ascii="Times New Roman" w:hAnsi="Times New Roman" w:eastAsia="仿宋_GB2312" w:cs="仿宋_GB2312"/>
          <w:color w:val="auto"/>
          <w:spacing w:val="-5"/>
          <w:sz w:val="32"/>
          <w:szCs w:val="32"/>
          <w:lang w:eastAsia="zh-CN"/>
        </w:rPr>
        <w:t>HPV</w:t>
      </w:r>
      <w:r>
        <w:rPr>
          <w:rFonts w:hint="eastAsia" w:ascii="Times New Roman" w:hAnsi="Times New Roman" w:eastAsia="仿宋_GB2312" w:cs="仿宋_GB2312"/>
          <w:color w:val="auto"/>
          <w:kern w:val="2"/>
          <w:sz w:val="32"/>
          <w:szCs w:val="32"/>
          <w:lang w:eastAsia="zh-CN"/>
        </w:rPr>
        <w:t>疫苗和带状疱疹疫苗接种惠民项目有关工作，有效降低受种者宫颈癌和带状疱疹发病风险，提高人民健康水平。</w:t>
      </w:r>
    </w:p>
    <w:p w14:paraId="439671D3">
      <w:pPr>
        <w:keepNext w:val="0"/>
        <w:keepLines w:val="0"/>
        <w:pageBreakBefore w:val="0"/>
        <w:widowControl w:val="0"/>
        <w:kinsoku/>
        <w:wordWrap/>
        <w:overflowPunct/>
        <w:topLinePunct w:val="0"/>
        <w:autoSpaceDE/>
        <w:autoSpaceDN/>
        <w:bidi w:val="0"/>
        <w:adjustRightInd/>
        <w:snapToGrid/>
        <w:spacing w:after="0" w:line="590" w:lineRule="exact"/>
        <w:ind w:firstLine="620" w:firstLineChars="200"/>
        <w:textAlignment w:val="auto"/>
        <w:rPr>
          <w:rFonts w:hint="eastAsia" w:ascii="黑体" w:hAnsi="黑体" w:eastAsia="黑体" w:cs="黑体"/>
          <w:color w:val="auto"/>
          <w:spacing w:val="-5"/>
          <w:sz w:val="32"/>
          <w:szCs w:val="32"/>
          <w:lang w:eastAsia="zh-CN"/>
        </w:rPr>
      </w:pPr>
      <w:r>
        <w:rPr>
          <w:rFonts w:hint="eastAsia" w:ascii="黑体" w:hAnsi="黑体" w:eastAsia="黑体" w:cs="黑体"/>
          <w:color w:val="auto"/>
          <w:spacing w:val="-5"/>
          <w:sz w:val="32"/>
          <w:szCs w:val="32"/>
          <w:lang w:eastAsia="zh-CN"/>
        </w:rPr>
        <w:t>二、工作原则</w:t>
      </w:r>
    </w:p>
    <w:p w14:paraId="7D99912D">
      <w:pPr>
        <w:keepNext w:val="0"/>
        <w:keepLines w:val="0"/>
        <w:pageBreakBefore w:val="0"/>
        <w:widowControl w:val="0"/>
        <w:kinsoku/>
        <w:wordWrap/>
        <w:overflowPunct/>
        <w:topLinePunct w:val="0"/>
        <w:autoSpaceDE/>
        <w:autoSpaceDN/>
        <w:bidi w:val="0"/>
        <w:adjustRightInd/>
        <w:snapToGrid/>
        <w:spacing w:after="0" w:line="590" w:lineRule="exact"/>
        <w:ind w:firstLine="620" w:firstLineChars="200"/>
        <w:textAlignment w:val="auto"/>
        <w:rPr>
          <w:rFonts w:ascii="Times New Roman" w:hAnsi="Times New Roman" w:eastAsia="仿宋_GB2312" w:cs="仿宋_GB2312"/>
          <w:color w:val="auto"/>
          <w:kern w:val="2"/>
          <w:sz w:val="32"/>
          <w:szCs w:val="32"/>
          <w:lang w:eastAsia="zh-CN"/>
        </w:rPr>
      </w:pPr>
      <w:r>
        <w:rPr>
          <w:rFonts w:hint="eastAsia" w:ascii="楷体_GB2312" w:hAnsi="楷体_GB2312" w:eastAsia="楷体_GB2312" w:cs="楷体_GB2312"/>
          <w:color w:val="auto"/>
          <w:spacing w:val="-5"/>
          <w:sz w:val="32"/>
          <w:szCs w:val="32"/>
          <w:lang w:eastAsia="zh-CN"/>
        </w:rPr>
        <w:t>（一）坚持属地管理原则。</w:t>
      </w:r>
      <w:r>
        <w:rPr>
          <w:rFonts w:hint="eastAsia" w:ascii="Times New Roman" w:hAnsi="Times New Roman" w:eastAsia="仿宋_GB2312" w:cs="仿宋_GB2312"/>
          <w:color w:val="auto"/>
          <w:kern w:val="2"/>
          <w:sz w:val="32"/>
          <w:szCs w:val="32"/>
          <w:lang w:eastAsia="zh-CN"/>
        </w:rPr>
        <w:t>在市卫健体委指导下，以县（市、区）为单位</w:t>
      </w:r>
      <w:r>
        <w:rPr>
          <w:rFonts w:hint="eastAsia" w:ascii="Times New Roman" w:hAnsi="Times New Roman" w:eastAsia="仿宋_GB2312" w:cs="仿宋_GB2312"/>
          <w:color w:val="auto"/>
          <w:kern w:val="2"/>
          <w:sz w:val="32"/>
          <w:szCs w:val="32"/>
          <w:lang w:val="en-US" w:eastAsia="zh-CN"/>
        </w:rPr>
        <w:t>制定本地HPV疫苗和带状疱疹疫苗接种惠民项目方案，</w:t>
      </w:r>
      <w:r>
        <w:rPr>
          <w:rFonts w:hint="eastAsia" w:ascii="Times New Roman" w:hAnsi="Times New Roman" w:eastAsia="仿宋_GB2312" w:cs="仿宋_GB2312"/>
          <w:color w:val="auto"/>
          <w:kern w:val="2"/>
          <w:sz w:val="32"/>
          <w:szCs w:val="32"/>
          <w:lang w:eastAsia="zh-CN"/>
        </w:rPr>
        <w:t>落实属地责任，抓好</w:t>
      </w:r>
      <w:r>
        <w:rPr>
          <w:rFonts w:hint="eastAsia" w:ascii="Times New Roman" w:hAnsi="Times New Roman" w:eastAsia="仿宋_GB2312" w:cs="仿宋_GB2312"/>
          <w:color w:val="auto"/>
          <w:kern w:val="2"/>
          <w:sz w:val="32"/>
          <w:szCs w:val="32"/>
          <w:lang w:val="en-US" w:eastAsia="zh-CN"/>
        </w:rPr>
        <w:t>具体</w:t>
      </w:r>
      <w:r>
        <w:rPr>
          <w:rFonts w:hint="eastAsia" w:ascii="Times New Roman" w:hAnsi="Times New Roman" w:eastAsia="仿宋_GB2312" w:cs="仿宋_GB2312"/>
          <w:color w:val="auto"/>
          <w:kern w:val="2"/>
          <w:sz w:val="32"/>
          <w:szCs w:val="32"/>
          <w:lang w:eastAsia="zh-CN"/>
        </w:rPr>
        <w:t>实施。</w:t>
      </w:r>
    </w:p>
    <w:p w14:paraId="07637046">
      <w:pPr>
        <w:keepNext w:val="0"/>
        <w:keepLines w:val="0"/>
        <w:pageBreakBefore w:val="0"/>
        <w:widowControl w:val="0"/>
        <w:kinsoku/>
        <w:wordWrap/>
        <w:overflowPunct/>
        <w:topLinePunct w:val="0"/>
        <w:autoSpaceDE/>
        <w:autoSpaceDN/>
        <w:bidi w:val="0"/>
        <w:adjustRightInd/>
        <w:snapToGrid/>
        <w:spacing w:after="0" w:line="590" w:lineRule="exact"/>
        <w:ind w:firstLine="620" w:firstLineChars="200"/>
        <w:textAlignment w:val="auto"/>
        <w:rPr>
          <w:rFonts w:ascii="Times New Roman" w:hAnsi="Times New Roman" w:eastAsia="仿宋_GB2312" w:cs="仿宋_GB2312"/>
          <w:color w:val="auto"/>
          <w:spacing w:val="-5"/>
          <w:sz w:val="32"/>
          <w:szCs w:val="32"/>
          <w:lang w:eastAsia="zh-CN"/>
        </w:rPr>
      </w:pPr>
      <w:r>
        <w:rPr>
          <w:rFonts w:hint="eastAsia" w:ascii="楷体_GB2312" w:hAnsi="楷体_GB2312" w:eastAsia="楷体_GB2312" w:cs="楷体_GB2312"/>
          <w:color w:val="auto"/>
          <w:spacing w:val="-5"/>
          <w:sz w:val="32"/>
          <w:szCs w:val="32"/>
          <w:lang w:eastAsia="zh-CN"/>
        </w:rPr>
        <w:t>（二）坚持“知情同意、自愿自费”原则。</w:t>
      </w:r>
      <w:r>
        <w:rPr>
          <w:rFonts w:hint="eastAsia" w:ascii="Times New Roman" w:hAnsi="Times New Roman" w:eastAsia="仿宋_GB2312" w:cs="仿宋_GB2312"/>
          <w:color w:val="auto"/>
          <w:spacing w:val="-5"/>
          <w:sz w:val="32"/>
          <w:szCs w:val="32"/>
          <w:lang w:eastAsia="zh-CN"/>
        </w:rPr>
        <w:t>加强HPV疫苗和带状疱疹疫苗接种的科学宣传，引导接种对象积极参与，提高接种意愿，按照“知情、同意、自愿、自费”的原则开展接种工作。</w:t>
      </w:r>
    </w:p>
    <w:p w14:paraId="0CD6E9E6">
      <w:pPr>
        <w:keepNext w:val="0"/>
        <w:keepLines w:val="0"/>
        <w:pageBreakBefore w:val="0"/>
        <w:widowControl w:val="0"/>
        <w:kinsoku/>
        <w:wordWrap/>
        <w:overflowPunct/>
        <w:topLinePunct w:val="0"/>
        <w:autoSpaceDE/>
        <w:autoSpaceDN/>
        <w:bidi w:val="0"/>
        <w:adjustRightInd/>
        <w:snapToGrid/>
        <w:spacing w:after="0" w:line="590" w:lineRule="exact"/>
        <w:ind w:firstLine="620" w:firstLineChars="200"/>
        <w:textAlignment w:val="auto"/>
        <w:rPr>
          <w:rFonts w:ascii="Times New Roman" w:hAnsi="Times New Roman" w:eastAsia="仿宋_GB2312" w:cs="仿宋_GB2312"/>
          <w:color w:val="auto"/>
          <w:spacing w:val="-5"/>
          <w:sz w:val="32"/>
          <w:szCs w:val="32"/>
          <w:lang w:eastAsia="zh-CN"/>
        </w:rPr>
      </w:pPr>
      <w:r>
        <w:rPr>
          <w:rFonts w:hint="eastAsia" w:ascii="楷体_GB2312" w:hAnsi="楷体_GB2312" w:eastAsia="楷体_GB2312" w:cs="楷体_GB2312"/>
          <w:color w:val="auto"/>
          <w:spacing w:val="-5"/>
          <w:sz w:val="32"/>
          <w:szCs w:val="32"/>
          <w:lang w:eastAsia="zh-CN"/>
        </w:rPr>
        <w:t>（三）坚持稳妥安全原则。</w:t>
      </w:r>
      <w:r>
        <w:rPr>
          <w:rFonts w:hint="eastAsia" w:ascii="Times New Roman" w:hAnsi="Times New Roman" w:eastAsia="仿宋_GB2312" w:cs="仿宋_GB2312"/>
          <w:color w:val="auto"/>
          <w:spacing w:val="-5"/>
          <w:sz w:val="32"/>
          <w:szCs w:val="32"/>
          <w:lang w:eastAsia="zh-CN"/>
        </w:rPr>
        <w:t>依法依规、扎实稳妥开展HPV疫苗和</w:t>
      </w:r>
      <w:r>
        <w:rPr>
          <w:rFonts w:hint="eastAsia" w:ascii="Times New Roman" w:hAnsi="Times New Roman" w:eastAsia="仿宋_GB2312" w:cs="仿宋_GB2312"/>
          <w:color w:val="auto"/>
          <w:spacing w:val="-5"/>
          <w:sz w:val="32"/>
          <w:szCs w:val="32"/>
          <w:lang w:val="en-US" w:eastAsia="zh-CN"/>
        </w:rPr>
        <w:t>带状疱疹</w:t>
      </w:r>
      <w:r>
        <w:rPr>
          <w:rFonts w:hint="eastAsia" w:ascii="Times New Roman" w:hAnsi="Times New Roman" w:eastAsia="仿宋_GB2312" w:cs="仿宋_GB2312"/>
          <w:color w:val="auto"/>
          <w:spacing w:val="-5"/>
          <w:sz w:val="32"/>
          <w:szCs w:val="32"/>
          <w:lang w:eastAsia="zh-CN"/>
        </w:rPr>
        <w:t>疫苗接种，严格疫苗管理，规范接种流程，确保接种安全。做好政策解释和宣传引导，加强舆情监测及处置。</w:t>
      </w:r>
    </w:p>
    <w:p w14:paraId="2BD7E66F">
      <w:pPr>
        <w:keepNext w:val="0"/>
        <w:keepLines w:val="0"/>
        <w:pageBreakBefore w:val="0"/>
        <w:widowControl w:val="0"/>
        <w:kinsoku/>
        <w:wordWrap/>
        <w:overflowPunct/>
        <w:topLinePunct w:val="0"/>
        <w:autoSpaceDE/>
        <w:autoSpaceDN/>
        <w:bidi w:val="0"/>
        <w:adjustRightInd/>
        <w:snapToGrid/>
        <w:spacing w:after="0" w:line="590" w:lineRule="exact"/>
        <w:ind w:firstLine="620" w:firstLineChars="200"/>
        <w:textAlignment w:val="auto"/>
        <w:rPr>
          <w:rFonts w:hint="eastAsia" w:ascii="黑体" w:hAnsi="黑体" w:eastAsia="黑体" w:cs="黑体"/>
          <w:color w:val="auto"/>
          <w:spacing w:val="-5"/>
          <w:sz w:val="32"/>
          <w:szCs w:val="32"/>
          <w:lang w:eastAsia="zh-CN"/>
        </w:rPr>
      </w:pPr>
      <w:r>
        <w:rPr>
          <w:rFonts w:hint="eastAsia" w:ascii="黑体" w:hAnsi="黑体" w:eastAsia="黑体" w:cs="黑体"/>
          <w:color w:val="auto"/>
          <w:spacing w:val="-5"/>
          <w:sz w:val="32"/>
          <w:szCs w:val="32"/>
          <w:lang w:eastAsia="zh-CN"/>
        </w:rPr>
        <w:t>三、具体实施</w:t>
      </w:r>
    </w:p>
    <w:p w14:paraId="14B00DEA">
      <w:pPr>
        <w:keepNext w:val="0"/>
        <w:keepLines w:val="0"/>
        <w:pageBreakBefore w:val="0"/>
        <w:widowControl w:val="0"/>
        <w:kinsoku/>
        <w:wordWrap/>
        <w:overflowPunct/>
        <w:topLinePunct w:val="0"/>
        <w:autoSpaceDE/>
        <w:autoSpaceDN/>
        <w:bidi w:val="0"/>
        <w:adjustRightInd/>
        <w:snapToGrid/>
        <w:spacing w:after="0" w:line="590" w:lineRule="exact"/>
        <w:ind w:firstLine="620" w:firstLineChars="200"/>
        <w:textAlignment w:val="auto"/>
        <w:rPr>
          <w:rFonts w:hint="eastAsia" w:ascii="楷体_GB2312" w:hAnsi="楷体_GB2312" w:eastAsia="楷体_GB2312" w:cs="楷体_GB2312"/>
          <w:color w:val="auto"/>
          <w:spacing w:val="-5"/>
          <w:sz w:val="32"/>
          <w:szCs w:val="32"/>
          <w:lang w:eastAsia="zh-CN"/>
        </w:rPr>
      </w:pPr>
      <w:r>
        <w:rPr>
          <w:rFonts w:hint="eastAsia" w:ascii="楷体_GB2312" w:hAnsi="楷体_GB2312" w:eastAsia="楷体_GB2312" w:cs="楷体_GB2312"/>
          <w:color w:val="auto"/>
          <w:spacing w:val="-5"/>
          <w:sz w:val="32"/>
          <w:szCs w:val="32"/>
          <w:lang w:eastAsia="zh-CN"/>
        </w:rPr>
        <w:t>（一）疫苗供应</w:t>
      </w:r>
    </w:p>
    <w:p w14:paraId="41127877">
      <w:pPr>
        <w:keepNext w:val="0"/>
        <w:keepLines w:val="0"/>
        <w:pageBreakBefore w:val="0"/>
        <w:widowControl w:val="0"/>
        <w:kinsoku/>
        <w:wordWrap/>
        <w:overflowPunct/>
        <w:topLinePunct w:val="0"/>
        <w:autoSpaceDE/>
        <w:autoSpaceDN/>
        <w:bidi w:val="0"/>
        <w:adjustRightInd/>
        <w:snapToGrid/>
        <w:spacing w:after="0" w:line="590" w:lineRule="exact"/>
        <w:ind w:firstLine="620" w:firstLineChars="200"/>
        <w:textAlignment w:val="auto"/>
        <w:rPr>
          <w:rFonts w:ascii="Times New Roman" w:hAnsi="Times New Roman" w:eastAsia="仿宋_GB2312" w:cs="仿宋_GB2312"/>
          <w:color w:val="auto"/>
          <w:spacing w:val="-5"/>
          <w:sz w:val="32"/>
          <w:szCs w:val="32"/>
          <w:lang w:eastAsia="zh-CN"/>
        </w:rPr>
      </w:pPr>
      <w:r>
        <w:rPr>
          <w:rFonts w:hint="eastAsia" w:ascii="Times New Roman" w:hAnsi="Times New Roman" w:eastAsia="仿宋_GB2312" w:cs="仿宋_GB2312"/>
          <w:color w:val="auto"/>
          <w:spacing w:val="-5"/>
          <w:sz w:val="32"/>
          <w:szCs w:val="32"/>
          <w:lang w:eastAsia="zh-CN"/>
        </w:rPr>
        <w:t>各县（市、区）疾控中心负责与HPV疫苗和带状疱疹疫苗生产供应企业对接，对企业相关资质进行审查备案，依法依规签署疫苗“惠民项目”合作协议等有关合同，并按照实际需求做好疫苗采购、分发、储存、运输等工作。</w:t>
      </w:r>
    </w:p>
    <w:p w14:paraId="7CA43861">
      <w:pPr>
        <w:keepNext w:val="0"/>
        <w:keepLines w:val="0"/>
        <w:pageBreakBefore w:val="0"/>
        <w:widowControl w:val="0"/>
        <w:kinsoku/>
        <w:wordWrap/>
        <w:overflowPunct/>
        <w:topLinePunct w:val="0"/>
        <w:autoSpaceDE/>
        <w:autoSpaceDN/>
        <w:bidi w:val="0"/>
        <w:adjustRightInd/>
        <w:snapToGrid/>
        <w:spacing w:after="0" w:line="590" w:lineRule="exact"/>
        <w:ind w:firstLine="620" w:firstLineChars="200"/>
        <w:textAlignment w:val="auto"/>
        <w:rPr>
          <w:rFonts w:hint="eastAsia" w:ascii="楷体_GB2312" w:hAnsi="楷体_GB2312" w:eastAsia="楷体_GB2312" w:cs="楷体_GB2312"/>
          <w:color w:val="auto"/>
          <w:spacing w:val="-5"/>
          <w:sz w:val="32"/>
          <w:szCs w:val="32"/>
          <w:lang w:eastAsia="zh-CN"/>
        </w:rPr>
      </w:pPr>
      <w:r>
        <w:rPr>
          <w:rFonts w:hint="eastAsia" w:ascii="楷体_GB2312" w:hAnsi="楷体_GB2312" w:eastAsia="楷体_GB2312" w:cs="楷体_GB2312"/>
          <w:color w:val="auto"/>
          <w:spacing w:val="-5"/>
          <w:sz w:val="32"/>
          <w:szCs w:val="32"/>
          <w:lang w:eastAsia="zh-CN"/>
        </w:rPr>
        <w:t>（二）接种对象</w:t>
      </w:r>
    </w:p>
    <w:p w14:paraId="4313E88F">
      <w:pPr>
        <w:keepNext w:val="0"/>
        <w:keepLines w:val="0"/>
        <w:pageBreakBefore w:val="0"/>
        <w:widowControl w:val="0"/>
        <w:kinsoku/>
        <w:wordWrap/>
        <w:overflowPunct/>
        <w:topLinePunct w:val="0"/>
        <w:autoSpaceDE/>
        <w:autoSpaceDN/>
        <w:bidi w:val="0"/>
        <w:adjustRightInd/>
        <w:snapToGrid/>
        <w:spacing w:after="0" w:line="590" w:lineRule="exact"/>
        <w:ind w:firstLine="620" w:firstLineChars="200"/>
        <w:textAlignment w:val="auto"/>
        <w:rPr>
          <w:rFonts w:ascii="Times New Roman" w:hAnsi="Times New Roman" w:eastAsia="仿宋_GB2312" w:cs="仿宋_GB2312"/>
          <w:color w:val="auto"/>
          <w:spacing w:val="-5"/>
          <w:sz w:val="32"/>
          <w:szCs w:val="32"/>
          <w:lang w:eastAsia="zh-CN"/>
        </w:rPr>
      </w:pPr>
      <w:r>
        <w:rPr>
          <w:rFonts w:hint="eastAsia" w:ascii="Times New Roman" w:hAnsi="Times New Roman" w:eastAsia="仿宋_GB2312" w:cs="仿宋_GB2312"/>
          <w:color w:val="auto"/>
          <w:spacing w:val="-5"/>
          <w:sz w:val="32"/>
          <w:szCs w:val="32"/>
          <w:lang w:eastAsia="zh-CN"/>
        </w:rPr>
        <w:t>1.HPV疫苗：9-45周岁女性、</w:t>
      </w:r>
      <w:r>
        <w:rPr>
          <w:rFonts w:hint="eastAsia" w:ascii="Times New Roman" w:hAnsi="Times New Roman" w:eastAsia="仿宋_GB2312" w:cs="仿宋_GB2312"/>
          <w:color w:val="auto"/>
          <w:spacing w:val="-5"/>
          <w:sz w:val="32"/>
          <w:szCs w:val="32"/>
          <w:lang w:val="en-US" w:eastAsia="zh-CN"/>
        </w:rPr>
        <w:t>9-26岁男性，</w:t>
      </w:r>
      <w:r>
        <w:rPr>
          <w:rFonts w:hint="eastAsia" w:ascii="Times New Roman" w:hAnsi="Times New Roman" w:eastAsia="仿宋_GB2312" w:cs="仿宋_GB2312"/>
          <w:color w:val="auto"/>
          <w:spacing w:val="-5"/>
          <w:sz w:val="32"/>
          <w:szCs w:val="32"/>
          <w:lang w:eastAsia="zh-CN"/>
        </w:rPr>
        <w:t>具体疫苗惠民政策到就近预防接种门诊详询。</w:t>
      </w:r>
    </w:p>
    <w:p w14:paraId="6DCD9196">
      <w:pPr>
        <w:keepNext w:val="0"/>
        <w:keepLines w:val="0"/>
        <w:pageBreakBefore w:val="0"/>
        <w:widowControl w:val="0"/>
        <w:kinsoku/>
        <w:wordWrap/>
        <w:overflowPunct/>
        <w:topLinePunct w:val="0"/>
        <w:autoSpaceDE/>
        <w:autoSpaceDN/>
        <w:bidi w:val="0"/>
        <w:adjustRightInd/>
        <w:snapToGrid/>
        <w:spacing w:after="0" w:line="590" w:lineRule="exact"/>
        <w:ind w:firstLine="620" w:firstLineChars="200"/>
        <w:textAlignment w:val="auto"/>
        <w:rPr>
          <w:rFonts w:ascii="Times New Roman" w:hAnsi="Times New Roman" w:eastAsia="仿宋_GB2312" w:cs="仿宋_GB2312"/>
          <w:color w:val="auto"/>
          <w:spacing w:val="-5"/>
          <w:sz w:val="32"/>
          <w:szCs w:val="32"/>
          <w:lang w:eastAsia="zh-CN"/>
        </w:rPr>
      </w:pPr>
      <w:r>
        <w:rPr>
          <w:rFonts w:hint="eastAsia" w:ascii="Times New Roman" w:hAnsi="Times New Roman" w:eastAsia="仿宋_GB2312" w:cs="仿宋_GB2312"/>
          <w:color w:val="auto"/>
          <w:spacing w:val="-5"/>
          <w:sz w:val="32"/>
          <w:szCs w:val="32"/>
          <w:lang w:eastAsia="zh-CN"/>
        </w:rPr>
        <w:t>2.带状疱疹疫苗：50岁及以上人群，具体疫苗惠民政策到就近预防接种门诊详询。</w:t>
      </w:r>
    </w:p>
    <w:p w14:paraId="025706F4">
      <w:pPr>
        <w:keepNext w:val="0"/>
        <w:keepLines w:val="0"/>
        <w:pageBreakBefore w:val="0"/>
        <w:widowControl w:val="0"/>
        <w:kinsoku/>
        <w:wordWrap/>
        <w:overflowPunct/>
        <w:topLinePunct w:val="0"/>
        <w:autoSpaceDE/>
        <w:autoSpaceDN/>
        <w:bidi w:val="0"/>
        <w:adjustRightInd/>
        <w:snapToGrid/>
        <w:spacing w:after="0" w:line="590" w:lineRule="exact"/>
        <w:ind w:firstLine="620" w:firstLineChars="200"/>
        <w:textAlignment w:val="auto"/>
        <w:rPr>
          <w:rFonts w:hint="eastAsia" w:ascii="楷体_GB2312" w:hAnsi="楷体_GB2312" w:eastAsia="楷体_GB2312" w:cs="楷体_GB2312"/>
          <w:color w:val="auto"/>
          <w:spacing w:val="-5"/>
          <w:sz w:val="32"/>
          <w:szCs w:val="32"/>
          <w:lang w:eastAsia="zh-CN"/>
        </w:rPr>
      </w:pPr>
      <w:r>
        <w:rPr>
          <w:rFonts w:hint="eastAsia" w:ascii="楷体_GB2312" w:hAnsi="楷体_GB2312" w:eastAsia="楷体_GB2312" w:cs="楷体_GB2312"/>
          <w:color w:val="auto"/>
          <w:spacing w:val="-5"/>
          <w:sz w:val="32"/>
          <w:szCs w:val="32"/>
          <w:lang w:eastAsia="zh-CN"/>
        </w:rPr>
        <w:t>（三）接种地点</w:t>
      </w:r>
    </w:p>
    <w:p w14:paraId="5FB28200">
      <w:pPr>
        <w:keepNext w:val="0"/>
        <w:keepLines w:val="0"/>
        <w:pageBreakBefore w:val="0"/>
        <w:widowControl w:val="0"/>
        <w:kinsoku/>
        <w:wordWrap/>
        <w:overflowPunct/>
        <w:topLinePunct w:val="0"/>
        <w:autoSpaceDE/>
        <w:autoSpaceDN/>
        <w:bidi w:val="0"/>
        <w:adjustRightInd/>
        <w:snapToGrid/>
        <w:spacing w:after="0" w:line="590" w:lineRule="exact"/>
        <w:ind w:firstLine="620" w:firstLineChars="200"/>
        <w:textAlignment w:val="auto"/>
        <w:rPr>
          <w:rFonts w:ascii="Times New Roman" w:hAnsi="Times New Roman" w:eastAsia="仿宋_GB2312" w:cs="仿宋_GB2312"/>
          <w:color w:val="auto"/>
          <w:spacing w:val="-5"/>
          <w:sz w:val="32"/>
          <w:szCs w:val="32"/>
          <w:lang w:eastAsia="zh-CN"/>
        </w:rPr>
      </w:pPr>
      <w:r>
        <w:rPr>
          <w:rFonts w:hint="eastAsia" w:ascii="Times New Roman" w:hAnsi="Times New Roman" w:eastAsia="仿宋_GB2312" w:cs="仿宋_GB2312"/>
          <w:color w:val="auto"/>
          <w:spacing w:val="-5"/>
          <w:sz w:val="32"/>
          <w:szCs w:val="32"/>
          <w:lang w:eastAsia="zh-CN"/>
        </w:rPr>
        <w:t>全市所有预防接种门诊均可实施接种。本次</w:t>
      </w:r>
      <w:r>
        <w:rPr>
          <w:rFonts w:hint="eastAsia" w:ascii="Times New Roman" w:hAnsi="Times New Roman" w:eastAsia="仿宋_GB2312" w:cs="仿宋_GB2312"/>
          <w:color w:val="auto"/>
          <w:spacing w:val="-5"/>
          <w:sz w:val="32"/>
          <w:szCs w:val="32"/>
          <w:lang w:val="en-US" w:eastAsia="zh-CN"/>
        </w:rPr>
        <w:t>惠民活动疫苗</w:t>
      </w:r>
      <w:r>
        <w:rPr>
          <w:rFonts w:hint="eastAsia" w:ascii="Times New Roman" w:hAnsi="Times New Roman" w:eastAsia="仿宋_GB2312" w:cs="仿宋_GB2312"/>
          <w:color w:val="auto"/>
          <w:spacing w:val="-5"/>
          <w:sz w:val="32"/>
          <w:szCs w:val="32"/>
          <w:lang w:eastAsia="zh-CN"/>
        </w:rPr>
        <w:t>接种采取实名制，受种者可凭有效身份证件到就近接种门诊参与本次惠民活动。</w:t>
      </w:r>
    </w:p>
    <w:p w14:paraId="5E321F27">
      <w:pPr>
        <w:keepNext w:val="0"/>
        <w:keepLines w:val="0"/>
        <w:pageBreakBefore w:val="0"/>
        <w:widowControl w:val="0"/>
        <w:kinsoku/>
        <w:wordWrap/>
        <w:overflowPunct/>
        <w:topLinePunct w:val="0"/>
        <w:autoSpaceDE/>
        <w:autoSpaceDN/>
        <w:bidi w:val="0"/>
        <w:adjustRightInd/>
        <w:snapToGrid/>
        <w:spacing w:after="0" w:line="590" w:lineRule="exact"/>
        <w:ind w:firstLine="620" w:firstLineChars="200"/>
        <w:textAlignment w:val="auto"/>
        <w:rPr>
          <w:rFonts w:hint="eastAsia" w:ascii="楷体_GB2312" w:hAnsi="楷体_GB2312" w:eastAsia="楷体_GB2312" w:cs="楷体_GB2312"/>
          <w:color w:val="auto"/>
          <w:spacing w:val="-5"/>
          <w:sz w:val="32"/>
          <w:szCs w:val="32"/>
          <w:lang w:eastAsia="zh-CN"/>
        </w:rPr>
      </w:pPr>
      <w:r>
        <w:rPr>
          <w:rFonts w:hint="eastAsia" w:ascii="楷体_GB2312" w:hAnsi="楷体_GB2312" w:eastAsia="楷体_GB2312" w:cs="楷体_GB2312"/>
          <w:color w:val="auto"/>
          <w:spacing w:val="-5"/>
          <w:sz w:val="32"/>
          <w:szCs w:val="32"/>
          <w:lang w:eastAsia="zh-CN"/>
        </w:rPr>
        <w:t>（四）时间安排</w:t>
      </w:r>
    </w:p>
    <w:p w14:paraId="43E21441">
      <w:pPr>
        <w:keepNext w:val="0"/>
        <w:keepLines w:val="0"/>
        <w:pageBreakBefore w:val="0"/>
        <w:widowControl w:val="0"/>
        <w:kinsoku/>
        <w:wordWrap/>
        <w:overflowPunct/>
        <w:topLinePunct w:val="0"/>
        <w:autoSpaceDE/>
        <w:autoSpaceDN/>
        <w:bidi w:val="0"/>
        <w:adjustRightInd/>
        <w:snapToGrid/>
        <w:spacing w:after="0" w:line="590" w:lineRule="exact"/>
        <w:ind w:firstLine="620" w:firstLineChars="200"/>
        <w:textAlignment w:val="auto"/>
        <w:rPr>
          <w:rFonts w:ascii="Times New Roman" w:hAnsi="Times New Roman" w:eastAsia="仿宋_GB2312" w:cs="仿宋_GB2312"/>
          <w:color w:val="auto"/>
          <w:spacing w:val="-5"/>
          <w:sz w:val="32"/>
          <w:szCs w:val="32"/>
          <w:lang w:eastAsia="zh-CN"/>
        </w:rPr>
      </w:pPr>
      <w:r>
        <w:rPr>
          <w:rFonts w:hint="eastAsia" w:ascii="Times New Roman" w:hAnsi="Times New Roman" w:eastAsia="仿宋_GB2312" w:cs="仿宋_GB2312"/>
          <w:color w:val="auto"/>
          <w:spacing w:val="-5"/>
          <w:sz w:val="32"/>
          <w:szCs w:val="32"/>
          <w:lang w:eastAsia="zh-CN"/>
        </w:rPr>
        <w:t>1.准备阶段（2025年5-6月）：2025年5月底前，市级层面制定</w:t>
      </w:r>
      <w:r>
        <w:rPr>
          <w:rFonts w:hint="eastAsia" w:ascii="Times New Roman" w:hAnsi="Times New Roman" w:eastAsia="仿宋_GB2312" w:cs="仿宋_GB2312"/>
          <w:color w:val="auto"/>
          <w:spacing w:val="-5"/>
          <w:sz w:val="32"/>
          <w:szCs w:val="32"/>
          <w:lang w:val="en-US" w:eastAsia="zh-CN"/>
        </w:rPr>
        <w:t>惠民项目</w:t>
      </w:r>
      <w:r>
        <w:rPr>
          <w:rFonts w:hint="eastAsia" w:ascii="Times New Roman" w:hAnsi="Times New Roman" w:eastAsia="仿宋_GB2312" w:cs="仿宋_GB2312"/>
          <w:color w:val="auto"/>
          <w:spacing w:val="-5"/>
          <w:sz w:val="32"/>
          <w:szCs w:val="32"/>
          <w:lang w:eastAsia="zh-CN"/>
        </w:rPr>
        <w:t>方案。6月15前，各县（市、区）制定本地</w:t>
      </w:r>
      <w:r>
        <w:rPr>
          <w:rFonts w:hint="eastAsia" w:ascii="Times New Roman" w:hAnsi="Times New Roman" w:eastAsia="仿宋_GB2312" w:cs="仿宋_GB2312"/>
          <w:color w:val="auto"/>
          <w:spacing w:val="-5"/>
          <w:sz w:val="32"/>
          <w:szCs w:val="32"/>
          <w:lang w:val="en-US" w:eastAsia="zh-CN"/>
        </w:rPr>
        <w:t>惠民活动具体</w:t>
      </w:r>
      <w:r>
        <w:rPr>
          <w:rFonts w:hint="eastAsia" w:ascii="Times New Roman" w:hAnsi="Times New Roman" w:eastAsia="仿宋_GB2312" w:cs="仿宋_GB2312"/>
          <w:color w:val="auto"/>
          <w:spacing w:val="-5"/>
          <w:sz w:val="32"/>
          <w:szCs w:val="32"/>
          <w:lang w:eastAsia="zh-CN"/>
        </w:rPr>
        <w:t>实施方案，并启动疫苗接种社会动员和科普宣传。6月底前，完成接种对象摸底调查，并完成接种对象信息和接种意愿核对、疫苗采购和接种工作人员培训等准备工作。</w:t>
      </w:r>
    </w:p>
    <w:p w14:paraId="532FC978">
      <w:pPr>
        <w:keepNext w:val="0"/>
        <w:keepLines w:val="0"/>
        <w:pageBreakBefore w:val="0"/>
        <w:widowControl w:val="0"/>
        <w:kinsoku/>
        <w:wordWrap/>
        <w:overflowPunct/>
        <w:topLinePunct w:val="0"/>
        <w:autoSpaceDE/>
        <w:autoSpaceDN/>
        <w:bidi w:val="0"/>
        <w:adjustRightInd/>
        <w:snapToGrid/>
        <w:spacing w:after="0" w:line="590" w:lineRule="exact"/>
        <w:ind w:firstLine="620" w:firstLineChars="200"/>
        <w:textAlignment w:val="auto"/>
        <w:rPr>
          <w:rFonts w:ascii="Times New Roman" w:hAnsi="Times New Roman" w:eastAsia="仿宋_GB2312" w:cs="仿宋_GB2312"/>
          <w:color w:val="auto"/>
          <w:spacing w:val="-5"/>
          <w:sz w:val="32"/>
          <w:szCs w:val="32"/>
          <w:lang w:eastAsia="zh-CN"/>
        </w:rPr>
      </w:pPr>
      <w:r>
        <w:rPr>
          <w:rFonts w:hint="eastAsia" w:ascii="Times New Roman" w:hAnsi="Times New Roman" w:eastAsia="仿宋_GB2312" w:cs="仿宋_GB2312"/>
          <w:color w:val="auto"/>
          <w:spacing w:val="-5"/>
          <w:sz w:val="32"/>
          <w:szCs w:val="32"/>
          <w:lang w:eastAsia="zh-CN"/>
        </w:rPr>
        <w:t>2.接种阶段（2025年7月至2026年5月）：各预防接种门诊持续进行社会动员和科普宣传，并对适龄人群进行HPV疫苗和带状疱疹疫苗接种。适龄人群须在各县（市、区）惠民</w:t>
      </w:r>
      <w:r>
        <w:rPr>
          <w:rFonts w:hint="eastAsia" w:ascii="Times New Roman" w:hAnsi="Times New Roman" w:eastAsia="仿宋_GB2312" w:cs="仿宋_GB2312"/>
          <w:color w:val="auto"/>
          <w:spacing w:val="-5"/>
          <w:sz w:val="32"/>
          <w:szCs w:val="32"/>
          <w:lang w:val="en-US" w:eastAsia="zh-CN"/>
        </w:rPr>
        <w:t>项目方案</w:t>
      </w:r>
      <w:r>
        <w:rPr>
          <w:rFonts w:hint="eastAsia" w:ascii="Times New Roman" w:hAnsi="Times New Roman" w:eastAsia="仿宋_GB2312" w:cs="仿宋_GB2312"/>
          <w:color w:val="auto"/>
          <w:spacing w:val="-5"/>
          <w:sz w:val="32"/>
          <w:szCs w:val="32"/>
          <w:lang w:eastAsia="zh-CN"/>
        </w:rPr>
        <w:t>规定时间内完成首针和全程接种，否则不享受活动优惠。</w:t>
      </w:r>
    </w:p>
    <w:p w14:paraId="6B50E1D9">
      <w:pPr>
        <w:keepNext w:val="0"/>
        <w:keepLines w:val="0"/>
        <w:pageBreakBefore w:val="0"/>
        <w:widowControl w:val="0"/>
        <w:kinsoku/>
        <w:wordWrap/>
        <w:overflowPunct/>
        <w:topLinePunct w:val="0"/>
        <w:autoSpaceDE/>
        <w:autoSpaceDN/>
        <w:bidi w:val="0"/>
        <w:adjustRightInd/>
        <w:snapToGrid/>
        <w:spacing w:after="0" w:line="590" w:lineRule="exact"/>
        <w:ind w:firstLine="620" w:firstLineChars="200"/>
        <w:textAlignment w:val="auto"/>
        <w:rPr>
          <w:rFonts w:hint="eastAsia" w:ascii="楷体_GB2312" w:hAnsi="楷体_GB2312" w:eastAsia="楷体_GB2312" w:cs="楷体_GB2312"/>
          <w:color w:val="auto"/>
          <w:spacing w:val="-5"/>
          <w:sz w:val="32"/>
          <w:szCs w:val="32"/>
          <w:lang w:eastAsia="zh-CN"/>
        </w:rPr>
      </w:pPr>
      <w:r>
        <w:rPr>
          <w:rFonts w:hint="eastAsia" w:ascii="楷体_GB2312" w:hAnsi="楷体_GB2312" w:eastAsia="楷体_GB2312" w:cs="楷体_GB2312"/>
          <w:color w:val="auto"/>
          <w:spacing w:val="-5"/>
          <w:sz w:val="32"/>
          <w:szCs w:val="32"/>
          <w:lang w:eastAsia="zh-CN"/>
        </w:rPr>
        <w:t>（五）组织实施</w:t>
      </w:r>
    </w:p>
    <w:p w14:paraId="18F53932">
      <w:pPr>
        <w:keepNext w:val="0"/>
        <w:keepLines w:val="0"/>
        <w:pageBreakBefore w:val="0"/>
        <w:widowControl w:val="0"/>
        <w:kinsoku/>
        <w:wordWrap/>
        <w:overflowPunct/>
        <w:topLinePunct w:val="0"/>
        <w:autoSpaceDE/>
        <w:autoSpaceDN/>
        <w:bidi w:val="0"/>
        <w:adjustRightInd/>
        <w:snapToGrid/>
        <w:spacing w:after="0" w:line="590" w:lineRule="exact"/>
        <w:ind w:firstLine="620" w:firstLineChars="200"/>
        <w:textAlignment w:val="auto"/>
        <w:rPr>
          <w:rFonts w:hint="eastAsia" w:ascii="Times New Roman" w:hAnsi="Times New Roman" w:eastAsia="仿宋_GB2312" w:cs="仿宋_GB2312"/>
          <w:color w:val="auto"/>
          <w:spacing w:val="-5"/>
          <w:sz w:val="32"/>
          <w:szCs w:val="32"/>
          <w:lang w:eastAsia="zh-CN"/>
        </w:rPr>
      </w:pPr>
      <w:r>
        <w:rPr>
          <w:rFonts w:hint="eastAsia" w:ascii="Times New Roman" w:hAnsi="Times New Roman" w:eastAsia="仿宋_GB2312" w:cs="仿宋_GB2312"/>
          <w:color w:val="auto"/>
          <w:spacing w:val="-5"/>
          <w:sz w:val="32"/>
          <w:szCs w:val="32"/>
          <w:lang w:eastAsia="zh-CN"/>
        </w:rPr>
        <w:t>1.接种对象摸底。2025年6月底前，各县（市、区）</w:t>
      </w:r>
      <w:r>
        <w:rPr>
          <w:rFonts w:hint="eastAsia" w:ascii="Times New Roman" w:hAnsi="Times New Roman" w:eastAsia="仿宋_GB2312" w:cs="仿宋_GB2312"/>
          <w:color w:val="auto"/>
          <w:spacing w:val="-5"/>
          <w:sz w:val="32"/>
          <w:szCs w:val="32"/>
          <w:lang w:val="en-US" w:eastAsia="zh-CN"/>
        </w:rPr>
        <w:t>卫健委</w:t>
      </w:r>
      <w:r>
        <w:rPr>
          <w:rFonts w:hint="eastAsia" w:ascii="Times New Roman" w:hAnsi="Times New Roman" w:eastAsia="仿宋_GB2312" w:cs="仿宋_GB2312"/>
          <w:color w:val="auto"/>
          <w:spacing w:val="-5"/>
          <w:sz w:val="32"/>
          <w:szCs w:val="32"/>
          <w:lang w:eastAsia="zh-CN"/>
        </w:rPr>
        <w:t>组织</w:t>
      </w:r>
      <w:r>
        <w:rPr>
          <w:rFonts w:hint="eastAsia" w:ascii="Times New Roman" w:hAnsi="Times New Roman" w:eastAsia="仿宋_GB2312" w:cs="仿宋_GB2312"/>
          <w:color w:val="auto"/>
          <w:spacing w:val="-5"/>
          <w:sz w:val="32"/>
          <w:szCs w:val="32"/>
          <w:lang w:val="en-US" w:eastAsia="zh-CN"/>
        </w:rPr>
        <w:t>各级疾控机构</w:t>
      </w:r>
      <w:r>
        <w:rPr>
          <w:rFonts w:hint="eastAsia" w:ascii="Times New Roman" w:hAnsi="Times New Roman" w:eastAsia="仿宋_GB2312" w:cs="仿宋_GB2312"/>
          <w:color w:val="auto"/>
          <w:spacing w:val="-5"/>
          <w:sz w:val="32"/>
          <w:szCs w:val="32"/>
          <w:lang w:eastAsia="zh-CN"/>
        </w:rPr>
        <w:t>发放“适龄人群HPV疫苗接种惠民活动告知书”（见附件1）</w:t>
      </w:r>
      <w:r>
        <w:rPr>
          <w:rFonts w:hint="eastAsia" w:ascii="Times New Roman" w:hAnsi="Times New Roman" w:eastAsia="仿宋_GB2312" w:cs="仿宋_GB2312"/>
          <w:color w:val="auto"/>
          <w:spacing w:val="-5"/>
          <w:sz w:val="32"/>
          <w:szCs w:val="32"/>
          <w:lang w:val="en-US" w:eastAsia="zh-CN"/>
        </w:rPr>
        <w:t>和</w:t>
      </w:r>
      <w:r>
        <w:rPr>
          <w:rFonts w:hint="eastAsia" w:ascii="Times New Roman" w:hAnsi="Times New Roman" w:eastAsia="仿宋_GB2312" w:cs="仿宋_GB2312"/>
          <w:color w:val="auto"/>
          <w:spacing w:val="-5"/>
          <w:sz w:val="32"/>
          <w:szCs w:val="32"/>
          <w:lang w:eastAsia="zh-CN"/>
        </w:rPr>
        <w:t>“50岁及以上人群带状疱疹疫苗接种惠民活动告知书”（见附件3），收集</w:t>
      </w:r>
      <w:r>
        <w:rPr>
          <w:rFonts w:hint="eastAsia" w:ascii="Times New Roman" w:hAnsi="Times New Roman" w:eastAsia="仿宋_GB2312" w:cs="仿宋_GB2312"/>
          <w:color w:val="auto"/>
          <w:spacing w:val="-5"/>
          <w:sz w:val="32"/>
          <w:szCs w:val="32"/>
          <w:lang w:val="en-US" w:eastAsia="zh-CN"/>
        </w:rPr>
        <w:t>摸底</w:t>
      </w:r>
      <w:r>
        <w:rPr>
          <w:rFonts w:hint="eastAsia" w:ascii="Times New Roman" w:hAnsi="Times New Roman" w:eastAsia="仿宋_GB2312" w:cs="仿宋_GB2312"/>
          <w:color w:val="auto"/>
          <w:spacing w:val="-5"/>
          <w:sz w:val="32"/>
          <w:szCs w:val="32"/>
          <w:lang w:eastAsia="zh-CN"/>
        </w:rPr>
        <w:t>统计表（见附件</w:t>
      </w:r>
      <w:r>
        <w:rPr>
          <w:rFonts w:hint="eastAsia" w:ascii="Times New Roman" w:hAnsi="Times New Roman" w:eastAsia="仿宋_GB2312" w:cs="仿宋_GB2312"/>
          <w:color w:val="auto"/>
          <w:spacing w:val="-5"/>
          <w:sz w:val="32"/>
          <w:szCs w:val="32"/>
          <w:lang w:val="en-US" w:eastAsia="zh-CN"/>
        </w:rPr>
        <w:t>2、</w:t>
      </w:r>
      <w:r>
        <w:rPr>
          <w:rFonts w:hint="eastAsia" w:ascii="Times New Roman" w:hAnsi="Times New Roman" w:eastAsia="仿宋_GB2312" w:cs="仿宋_GB2312"/>
          <w:color w:val="auto"/>
          <w:spacing w:val="-5"/>
          <w:sz w:val="32"/>
          <w:szCs w:val="32"/>
          <w:lang w:eastAsia="zh-CN"/>
        </w:rPr>
        <w:t>4）</w:t>
      </w:r>
    </w:p>
    <w:p w14:paraId="129FF448">
      <w:pPr>
        <w:keepNext w:val="0"/>
        <w:keepLines w:val="0"/>
        <w:pageBreakBefore w:val="0"/>
        <w:widowControl w:val="0"/>
        <w:kinsoku/>
        <w:wordWrap/>
        <w:overflowPunct/>
        <w:topLinePunct w:val="0"/>
        <w:autoSpaceDE/>
        <w:autoSpaceDN/>
        <w:bidi w:val="0"/>
        <w:adjustRightInd/>
        <w:snapToGrid/>
        <w:spacing w:after="0" w:line="590" w:lineRule="exact"/>
        <w:ind w:firstLine="620" w:firstLineChars="200"/>
        <w:textAlignment w:val="auto"/>
        <w:rPr>
          <w:rFonts w:ascii="Times New Roman" w:hAnsi="Times New Roman" w:eastAsia="仿宋_GB2312" w:cs="仿宋_GB2312"/>
          <w:color w:val="auto"/>
          <w:spacing w:val="-5"/>
          <w:sz w:val="32"/>
          <w:szCs w:val="32"/>
          <w:lang w:eastAsia="zh-CN"/>
        </w:rPr>
      </w:pPr>
      <w:r>
        <w:rPr>
          <w:rFonts w:hint="eastAsia" w:ascii="Times New Roman" w:hAnsi="Times New Roman" w:eastAsia="仿宋_GB2312" w:cs="仿宋_GB2312"/>
          <w:color w:val="auto"/>
          <w:spacing w:val="-5"/>
          <w:sz w:val="32"/>
          <w:szCs w:val="32"/>
          <w:lang w:eastAsia="zh-CN"/>
        </w:rPr>
        <w:t>2.科普宣传和社会动员。市卫健体委组织专家围绕宫颈癌和带状疱疹防治，持续开展HPV疫苗（附件</w:t>
      </w:r>
      <w:r>
        <w:rPr>
          <w:rFonts w:hint="eastAsia" w:ascii="Times New Roman" w:hAnsi="Times New Roman" w:eastAsia="仿宋_GB2312" w:cs="仿宋_GB2312"/>
          <w:color w:val="auto"/>
          <w:spacing w:val="-5"/>
          <w:sz w:val="32"/>
          <w:szCs w:val="32"/>
          <w:lang w:val="en-US" w:eastAsia="zh-CN"/>
        </w:rPr>
        <w:t>1</w:t>
      </w:r>
      <w:r>
        <w:rPr>
          <w:rFonts w:hint="eastAsia" w:ascii="Times New Roman" w:hAnsi="Times New Roman" w:eastAsia="仿宋_GB2312" w:cs="仿宋_GB2312"/>
          <w:color w:val="auto"/>
          <w:spacing w:val="-5"/>
          <w:sz w:val="32"/>
          <w:szCs w:val="32"/>
          <w:lang w:eastAsia="zh-CN"/>
        </w:rPr>
        <w:t>）、带状疱疹疫苗健康知识（附件</w:t>
      </w:r>
      <w:r>
        <w:rPr>
          <w:rFonts w:hint="eastAsia" w:ascii="Times New Roman" w:hAnsi="Times New Roman" w:eastAsia="仿宋_GB2312" w:cs="仿宋_GB2312"/>
          <w:color w:val="auto"/>
          <w:spacing w:val="-5"/>
          <w:sz w:val="32"/>
          <w:szCs w:val="32"/>
          <w:lang w:val="en-US" w:eastAsia="zh-CN"/>
        </w:rPr>
        <w:t>3</w:t>
      </w:r>
      <w:r>
        <w:rPr>
          <w:rFonts w:hint="eastAsia" w:ascii="Times New Roman" w:hAnsi="Times New Roman" w:eastAsia="仿宋_GB2312" w:cs="仿宋_GB2312"/>
          <w:color w:val="auto"/>
          <w:spacing w:val="-5"/>
          <w:sz w:val="32"/>
          <w:szCs w:val="32"/>
          <w:lang w:eastAsia="zh-CN"/>
        </w:rPr>
        <w:t>）和接种政策宣传，营造良好社会氛围。各县（市、区）结合疫苗接种优惠政策，通过传统媒体和新媒体等方式针对辖区接种对象及其家长开展精准宣传动员，提升人群接种意愿。</w:t>
      </w:r>
    </w:p>
    <w:p w14:paraId="1D6B1BB7">
      <w:pPr>
        <w:keepNext w:val="0"/>
        <w:keepLines w:val="0"/>
        <w:pageBreakBefore w:val="0"/>
        <w:widowControl w:val="0"/>
        <w:kinsoku/>
        <w:wordWrap/>
        <w:overflowPunct/>
        <w:topLinePunct w:val="0"/>
        <w:autoSpaceDE/>
        <w:autoSpaceDN/>
        <w:bidi w:val="0"/>
        <w:adjustRightInd/>
        <w:snapToGrid/>
        <w:spacing w:after="0" w:line="590" w:lineRule="exact"/>
        <w:ind w:firstLine="620" w:firstLineChars="200"/>
        <w:textAlignment w:val="auto"/>
        <w:rPr>
          <w:rFonts w:ascii="Times New Roman" w:hAnsi="Times New Roman" w:eastAsia="仿宋_GB2312" w:cs="仿宋_GB2312"/>
          <w:color w:val="auto"/>
          <w:spacing w:val="-5"/>
          <w:sz w:val="32"/>
          <w:szCs w:val="32"/>
          <w:lang w:eastAsia="zh-CN"/>
        </w:rPr>
      </w:pPr>
      <w:r>
        <w:rPr>
          <w:rFonts w:hint="eastAsia" w:ascii="Times New Roman" w:hAnsi="Times New Roman" w:eastAsia="仿宋_GB2312" w:cs="仿宋_GB2312"/>
          <w:color w:val="auto"/>
          <w:spacing w:val="-5"/>
          <w:sz w:val="32"/>
          <w:szCs w:val="32"/>
          <w:lang w:eastAsia="zh-CN"/>
        </w:rPr>
        <w:t>3.接种组织实施。各接种门诊开通线上、线下预约通道，适龄人群可提前预约接种时间、选择接种门诊，按照预约确认信息完成接种。</w:t>
      </w:r>
    </w:p>
    <w:p w14:paraId="3112FFBE">
      <w:pPr>
        <w:keepNext w:val="0"/>
        <w:keepLines w:val="0"/>
        <w:pageBreakBefore w:val="0"/>
        <w:widowControl w:val="0"/>
        <w:kinsoku/>
        <w:wordWrap/>
        <w:overflowPunct/>
        <w:topLinePunct w:val="0"/>
        <w:autoSpaceDE/>
        <w:autoSpaceDN/>
        <w:bidi w:val="0"/>
        <w:adjustRightInd/>
        <w:snapToGrid/>
        <w:spacing w:after="0" w:line="590" w:lineRule="exact"/>
        <w:ind w:firstLine="620" w:firstLineChars="200"/>
        <w:textAlignment w:val="auto"/>
        <w:rPr>
          <w:rFonts w:ascii="Times New Roman" w:hAnsi="Times New Roman" w:eastAsia="仿宋_GB2312" w:cs="仿宋_GB2312"/>
          <w:color w:val="auto"/>
          <w:spacing w:val="-5"/>
          <w:sz w:val="32"/>
          <w:szCs w:val="32"/>
          <w:lang w:eastAsia="zh-CN"/>
        </w:rPr>
      </w:pPr>
      <w:r>
        <w:rPr>
          <w:rFonts w:hint="eastAsia" w:ascii="Times New Roman" w:hAnsi="Times New Roman" w:eastAsia="仿宋_GB2312" w:cs="仿宋_GB2312"/>
          <w:color w:val="auto"/>
          <w:spacing w:val="-5"/>
          <w:sz w:val="32"/>
          <w:szCs w:val="32"/>
          <w:lang w:eastAsia="zh-CN"/>
        </w:rPr>
        <w:t>4.接种流程。接种门诊核对信息，确认是否为惠民项目接种对象。接种过程规范开展健康询问、接种禁忌核查及知情告知，并在接种对象签署知情同意书的前提下开展接种；严格落实“三查七对一验证”和现场留观半小时等措施，确保接种安全。</w:t>
      </w:r>
    </w:p>
    <w:p w14:paraId="40E9E1B5">
      <w:pPr>
        <w:keepNext w:val="0"/>
        <w:keepLines w:val="0"/>
        <w:pageBreakBefore w:val="0"/>
        <w:widowControl w:val="0"/>
        <w:kinsoku/>
        <w:wordWrap/>
        <w:overflowPunct/>
        <w:topLinePunct w:val="0"/>
        <w:autoSpaceDE/>
        <w:autoSpaceDN/>
        <w:bidi w:val="0"/>
        <w:adjustRightInd/>
        <w:snapToGrid/>
        <w:spacing w:after="0" w:line="590" w:lineRule="exact"/>
        <w:ind w:firstLine="620" w:firstLineChars="200"/>
        <w:textAlignment w:val="auto"/>
        <w:rPr>
          <w:rFonts w:ascii="Times New Roman" w:hAnsi="Times New Roman" w:eastAsia="仿宋_GB2312" w:cs="仿宋_GB2312"/>
          <w:color w:val="auto"/>
          <w:spacing w:val="-5"/>
          <w:sz w:val="32"/>
          <w:szCs w:val="32"/>
          <w:lang w:eastAsia="zh-CN"/>
        </w:rPr>
      </w:pPr>
      <w:r>
        <w:rPr>
          <w:rFonts w:hint="eastAsia" w:ascii="Times New Roman" w:hAnsi="Times New Roman" w:eastAsia="仿宋_GB2312" w:cs="仿宋_GB2312"/>
          <w:color w:val="auto"/>
          <w:spacing w:val="-5"/>
          <w:sz w:val="32"/>
          <w:szCs w:val="32"/>
          <w:lang w:eastAsia="zh-CN"/>
        </w:rPr>
        <w:t>5.异常反应监测及处置。加强疑似预防接种异常反应监测，各接种门诊接到疑似异常反应报告后，按照相关要求及时处置；制定疫苗接种突发事件应急预案，加强异常反应医疗救治保障，建立医疗救治绿色通道，确保疑似异常反应及时有效救治。对经调查诊断或者鉴定为接种异常反应的，由疫苗生产企业按照非免疫规划疫苗补偿机制对异常反应受种者及时进行补偿。</w:t>
      </w:r>
    </w:p>
    <w:p w14:paraId="6784B3BE">
      <w:pPr>
        <w:keepNext w:val="0"/>
        <w:keepLines w:val="0"/>
        <w:pageBreakBefore w:val="0"/>
        <w:widowControl w:val="0"/>
        <w:kinsoku/>
        <w:wordWrap/>
        <w:overflowPunct/>
        <w:topLinePunct w:val="0"/>
        <w:autoSpaceDE/>
        <w:autoSpaceDN/>
        <w:bidi w:val="0"/>
        <w:adjustRightInd/>
        <w:snapToGrid/>
        <w:spacing w:after="0" w:line="590" w:lineRule="exact"/>
        <w:ind w:firstLine="620" w:firstLineChars="200"/>
        <w:textAlignment w:val="auto"/>
        <w:rPr>
          <w:rFonts w:ascii="Times New Roman" w:hAnsi="Times New Roman" w:eastAsia="仿宋_GB2312" w:cs="仿宋_GB2312"/>
          <w:color w:val="auto"/>
          <w:spacing w:val="-5"/>
          <w:sz w:val="32"/>
          <w:szCs w:val="32"/>
          <w:lang w:eastAsia="zh-CN"/>
        </w:rPr>
      </w:pPr>
      <w:r>
        <w:rPr>
          <w:rFonts w:hint="eastAsia" w:ascii="Times New Roman" w:hAnsi="Times New Roman" w:eastAsia="仿宋_GB2312" w:cs="仿宋_GB2312"/>
          <w:color w:val="auto"/>
          <w:spacing w:val="-5"/>
          <w:sz w:val="32"/>
          <w:szCs w:val="32"/>
          <w:lang w:eastAsia="zh-CN"/>
        </w:rPr>
        <w:t>6.信息报送。各县（市、区）</w:t>
      </w:r>
      <w:r>
        <w:rPr>
          <w:rFonts w:hint="eastAsia" w:ascii="Times New Roman" w:hAnsi="Times New Roman" w:eastAsia="仿宋_GB2312" w:cs="仿宋_GB2312"/>
          <w:color w:val="auto"/>
          <w:spacing w:val="-5"/>
          <w:sz w:val="32"/>
          <w:szCs w:val="32"/>
          <w:lang w:val="en-US" w:eastAsia="zh-CN"/>
        </w:rPr>
        <w:t>卫健委</w:t>
      </w:r>
      <w:r>
        <w:rPr>
          <w:rFonts w:hint="eastAsia" w:ascii="Times New Roman" w:hAnsi="Times New Roman" w:eastAsia="仿宋_GB2312" w:cs="仿宋_GB2312"/>
          <w:color w:val="auto"/>
          <w:spacing w:val="-5"/>
          <w:sz w:val="32"/>
          <w:szCs w:val="32"/>
          <w:lang w:eastAsia="zh-CN"/>
        </w:rPr>
        <w:t>应于2025年7月10日前将当地摸底调查信息统计表（附件2、4）</w:t>
      </w:r>
      <w:r>
        <w:rPr>
          <w:rFonts w:hint="eastAsia" w:ascii="Times New Roman" w:hAnsi="Times New Roman" w:eastAsia="仿宋_GB2312" w:cs="仿宋_GB2312"/>
          <w:color w:val="auto"/>
          <w:spacing w:val="-5"/>
          <w:sz w:val="32"/>
          <w:szCs w:val="32"/>
          <w:lang w:val="en-US" w:eastAsia="zh-CN"/>
        </w:rPr>
        <w:t>报</w:t>
      </w:r>
      <w:r>
        <w:rPr>
          <w:rFonts w:hint="eastAsia" w:ascii="Times New Roman" w:hAnsi="Times New Roman" w:eastAsia="仿宋_GB2312" w:cs="仿宋_GB2312"/>
          <w:color w:val="auto"/>
          <w:spacing w:val="-5"/>
          <w:sz w:val="32"/>
          <w:szCs w:val="32"/>
          <w:lang w:eastAsia="zh-CN"/>
        </w:rPr>
        <w:t>市卫健体委、市疾控中心；2026年6月</w:t>
      </w:r>
      <w:r>
        <w:rPr>
          <w:rFonts w:hint="eastAsia" w:ascii="Times New Roman" w:hAnsi="Times New Roman" w:eastAsia="仿宋_GB2312" w:cs="仿宋_GB2312"/>
          <w:color w:val="auto"/>
          <w:spacing w:val="-5"/>
          <w:sz w:val="32"/>
          <w:szCs w:val="32"/>
          <w:lang w:val="en-US" w:eastAsia="zh-CN"/>
        </w:rPr>
        <w:t>30日</w:t>
      </w:r>
      <w:r>
        <w:rPr>
          <w:rFonts w:hint="eastAsia" w:ascii="Times New Roman" w:hAnsi="Times New Roman" w:eastAsia="仿宋_GB2312" w:cs="仿宋_GB2312"/>
          <w:color w:val="auto"/>
          <w:spacing w:val="-5"/>
          <w:sz w:val="32"/>
          <w:szCs w:val="32"/>
          <w:lang w:eastAsia="zh-CN"/>
        </w:rPr>
        <w:t>前将HPV疫苗和带状疱疹疫苗各剂次接种情况报市卫健体委、市疾控中心。</w:t>
      </w:r>
    </w:p>
    <w:p w14:paraId="68F07BCE">
      <w:pPr>
        <w:keepNext w:val="0"/>
        <w:keepLines w:val="0"/>
        <w:pageBreakBefore w:val="0"/>
        <w:widowControl w:val="0"/>
        <w:kinsoku/>
        <w:wordWrap/>
        <w:overflowPunct/>
        <w:topLinePunct w:val="0"/>
        <w:autoSpaceDE/>
        <w:autoSpaceDN/>
        <w:bidi w:val="0"/>
        <w:adjustRightInd/>
        <w:snapToGrid/>
        <w:spacing w:after="0" w:line="590" w:lineRule="exact"/>
        <w:ind w:firstLine="620" w:firstLineChars="200"/>
        <w:textAlignment w:val="auto"/>
        <w:rPr>
          <w:rFonts w:hint="eastAsia" w:ascii="黑体" w:hAnsi="黑体" w:eastAsia="黑体" w:cs="黑体"/>
          <w:color w:val="auto"/>
          <w:spacing w:val="-5"/>
          <w:sz w:val="32"/>
          <w:szCs w:val="32"/>
          <w:lang w:eastAsia="zh-CN"/>
        </w:rPr>
      </w:pPr>
      <w:r>
        <w:rPr>
          <w:rFonts w:hint="eastAsia" w:ascii="黑体" w:hAnsi="黑体" w:eastAsia="黑体" w:cs="黑体"/>
          <w:color w:val="auto"/>
          <w:spacing w:val="-5"/>
          <w:sz w:val="32"/>
          <w:szCs w:val="32"/>
          <w:lang w:eastAsia="zh-CN"/>
        </w:rPr>
        <w:t>四、部门职责</w:t>
      </w:r>
    </w:p>
    <w:p w14:paraId="6CCA6A5F">
      <w:pPr>
        <w:keepNext w:val="0"/>
        <w:keepLines w:val="0"/>
        <w:pageBreakBefore w:val="0"/>
        <w:widowControl w:val="0"/>
        <w:kinsoku/>
        <w:wordWrap/>
        <w:overflowPunct/>
        <w:topLinePunct w:val="0"/>
        <w:autoSpaceDE/>
        <w:autoSpaceDN/>
        <w:bidi w:val="0"/>
        <w:adjustRightInd/>
        <w:snapToGrid/>
        <w:spacing w:after="0" w:line="590" w:lineRule="exact"/>
        <w:ind w:firstLine="620" w:firstLineChars="200"/>
        <w:textAlignment w:val="auto"/>
        <w:rPr>
          <w:rFonts w:ascii="Times New Roman" w:hAnsi="Times New Roman" w:eastAsia="仿宋_GB2312" w:cs="仿宋_GB2312"/>
          <w:color w:val="auto"/>
          <w:spacing w:val="-5"/>
          <w:sz w:val="32"/>
          <w:szCs w:val="32"/>
          <w:lang w:eastAsia="zh-CN"/>
        </w:rPr>
      </w:pPr>
      <w:r>
        <w:rPr>
          <w:rFonts w:hint="eastAsia" w:ascii="楷体_GB2312" w:hAnsi="楷体_GB2312" w:eastAsia="楷体_GB2312" w:cs="楷体_GB2312"/>
          <w:color w:val="auto"/>
          <w:spacing w:val="-5"/>
          <w:sz w:val="32"/>
          <w:szCs w:val="32"/>
          <w:lang w:eastAsia="zh-CN"/>
        </w:rPr>
        <w:t>（一）市卫健体委：</w:t>
      </w:r>
      <w:r>
        <w:rPr>
          <w:rFonts w:hint="eastAsia" w:ascii="Times New Roman" w:hAnsi="Times New Roman" w:eastAsia="仿宋_GB2312" w:cs="仿宋_GB2312"/>
          <w:color w:val="auto"/>
          <w:spacing w:val="-5"/>
          <w:sz w:val="32"/>
          <w:szCs w:val="32"/>
          <w:lang w:eastAsia="zh-CN"/>
        </w:rPr>
        <w:t>负责全市HPV疫苗和带状疱疹疫苗接种惠民项目的总体组织和督导，组织专家围绕宫颈癌和带状疱疹防治开展疫苗健康知识培训。</w:t>
      </w:r>
    </w:p>
    <w:p w14:paraId="6C4490EB">
      <w:pPr>
        <w:keepNext w:val="0"/>
        <w:keepLines w:val="0"/>
        <w:pageBreakBefore w:val="0"/>
        <w:widowControl w:val="0"/>
        <w:kinsoku/>
        <w:wordWrap/>
        <w:overflowPunct/>
        <w:topLinePunct w:val="0"/>
        <w:autoSpaceDE/>
        <w:autoSpaceDN/>
        <w:bidi w:val="0"/>
        <w:adjustRightInd/>
        <w:snapToGrid/>
        <w:spacing w:after="0" w:line="590" w:lineRule="exact"/>
        <w:ind w:firstLine="620" w:firstLineChars="200"/>
        <w:textAlignment w:val="auto"/>
        <w:rPr>
          <w:rFonts w:ascii="Times New Roman" w:hAnsi="Times New Roman" w:eastAsia="仿宋_GB2312" w:cs="仿宋_GB2312"/>
          <w:color w:val="auto"/>
          <w:spacing w:val="-5"/>
          <w:sz w:val="32"/>
          <w:szCs w:val="32"/>
          <w:lang w:eastAsia="zh-CN"/>
        </w:rPr>
      </w:pPr>
      <w:r>
        <w:rPr>
          <w:rFonts w:hint="eastAsia" w:ascii="楷体_GB2312" w:hAnsi="楷体_GB2312" w:eastAsia="楷体_GB2312" w:cs="楷体_GB2312"/>
          <w:color w:val="auto"/>
          <w:spacing w:val="-5"/>
          <w:sz w:val="32"/>
          <w:szCs w:val="32"/>
          <w:lang w:eastAsia="zh-CN"/>
        </w:rPr>
        <w:t>（二）各县（市、区）卫生健康部门：</w:t>
      </w:r>
      <w:r>
        <w:rPr>
          <w:rFonts w:hint="eastAsia" w:ascii="Times New Roman" w:hAnsi="Times New Roman" w:eastAsia="仿宋_GB2312" w:cs="仿宋_GB2312"/>
          <w:color w:val="auto"/>
          <w:spacing w:val="-5"/>
          <w:sz w:val="32"/>
          <w:szCs w:val="32"/>
          <w:lang w:eastAsia="zh-CN"/>
        </w:rPr>
        <w:t>负责</w:t>
      </w:r>
      <w:r>
        <w:rPr>
          <w:rFonts w:hint="eastAsia" w:ascii="Times New Roman" w:hAnsi="Times New Roman" w:eastAsia="仿宋_GB2312" w:cs="仿宋_GB2312"/>
          <w:color w:val="auto"/>
          <w:spacing w:val="-5"/>
          <w:sz w:val="32"/>
          <w:szCs w:val="32"/>
          <w:lang w:val="en-US" w:eastAsia="zh-CN"/>
        </w:rPr>
        <w:t>制定本</w:t>
      </w:r>
      <w:r>
        <w:rPr>
          <w:rFonts w:hint="eastAsia" w:ascii="Times New Roman" w:hAnsi="Times New Roman" w:eastAsia="仿宋_GB2312" w:cs="仿宋_GB2312"/>
          <w:color w:val="auto"/>
          <w:spacing w:val="-5"/>
          <w:sz w:val="32"/>
          <w:szCs w:val="32"/>
          <w:lang w:eastAsia="zh-CN"/>
        </w:rPr>
        <w:t>辖区HPV疫苗和带状疱疹疫苗接种惠民项目</w:t>
      </w:r>
      <w:r>
        <w:rPr>
          <w:rFonts w:hint="eastAsia" w:ascii="Times New Roman" w:hAnsi="Times New Roman" w:eastAsia="仿宋_GB2312" w:cs="仿宋_GB2312"/>
          <w:color w:val="auto"/>
          <w:spacing w:val="-5"/>
          <w:sz w:val="32"/>
          <w:szCs w:val="32"/>
          <w:lang w:val="en-US" w:eastAsia="zh-CN"/>
        </w:rPr>
        <w:t>方案</w:t>
      </w:r>
      <w:r>
        <w:rPr>
          <w:rFonts w:hint="eastAsia" w:ascii="Times New Roman" w:hAnsi="Times New Roman" w:eastAsia="仿宋_GB2312" w:cs="仿宋_GB2312"/>
          <w:color w:val="auto"/>
          <w:spacing w:val="-5"/>
          <w:sz w:val="32"/>
          <w:szCs w:val="32"/>
          <w:lang w:eastAsia="zh-CN"/>
        </w:rPr>
        <w:t>，开展HPV疫苗和带状疱疹疫苗健康知识和接种政策宣传。</w:t>
      </w:r>
    </w:p>
    <w:p w14:paraId="3094AB27">
      <w:pPr>
        <w:keepNext w:val="0"/>
        <w:keepLines w:val="0"/>
        <w:pageBreakBefore w:val="0"/>
        <w:widowControl w:val="0"/>
        <w:kinsoku/>
        <w:wordWrap/>
        <w:overflowPunct/>
        <w:topLinePunct w:val="0"/>
        <w:autoSpaceDE/>
        <w:autoSpaceDN/>
        <w:bidi w:val="0"/>
        <w:adjustRightInd/>
        <w:snapToGrid/>
        <w:spacing w:after="0" w:line="590" w:lineRule="exact"/>
        <w:ind w:firstLine="620" w:firstLineChars="200"/>
        <w:textAlignment w:val="auto"/>
        <w:rPr>
          <w:rFonts w:ascii="Times New Roman" w:hAnsi="Times New Roman" w:eastAsia="仿宋_GB2312" w:cs="仿宋_GB2312"/>
          <w:color w:val="auto"/>
          <w:spacing w:val="-5"/>
          <w:sz w:val="32"/>
          <w:szCs w:val="32"/>
          <w:lang w:eastAsia="zh-CN"/>
        </w:rPr>
      </w:pPr>
      <w:r>
        <w:rPr>
          <w:rFonts w:hint="eastAsia" w:ascii="楷体_GB2312" w:hAnsi="楷体_GB2312" w:eastAsia="楷体_GB2312" w:cs="楷体_GB2312"/>
          <w:color w:val="auto"/>
          <w:spacing w:val="-5"/>
          <w:sz w:val="32"/>
          <w:szCs w:val="32"/>
          <w:lang w:eastAsia="zh-CN"/>
        </w:rPr>
        <w:t>（三）市疾控中心：</w:t>
      </w:r>
      <w:r>
        <w:rPr>
          <w:rFonts w:hint="eastAsia" w:ascii="Times New Roman" w:hAnsi="Times New Roman" w:eastAsia="仿宋_GB2312" w:cs="仿宋_GB2312"/>
          <w:color w:val="auto"/>
          <w:spacing w:val="-5"/>
          <w:sz w:val="32"/>
          <w:szCs w:val="32"/>
          <w:lang w:eastAsia="zh-CN"/>
        </w:rPr>
        <w:t>负责全市接种工作的评估和质控，指导全市开展疫苗接种后疑似异常反应监测及处置。</w:t>
      </w:r>
    </w:p>
    <w:p w14:paraId="5276C4F1">
      <w:pPr>
        <w:keepNext w:val="0"/>
        <w:keepLines w:val="0"/>
        <w:pageBreakBefore w:val="0"/>
        <w:widowControl w:val="0"/>
        <w:kinsoku/>
        <w:wordWrap/>
        <w:overflowPunct/>
        <w:topLinePunct w:val="0"/>
        <w:autoSpaceDE/>
        <w:autoSpaceDN/>
        <w:bidi w:val="0"/>
        <w:adjustRightInd/>
        <w:snapToGrid/>
        <w:spacing w:after="0" w:line="590" w:lineRule="exact"/>
        <w:ind w:firstLine="620" w:firstLineChars="200"/>
        <w:textAlignment w:val="auto"/>
        <w:rPr>
          <w:rFonts w:hint="eastAsia" w:ascii="黑体" w:hAnsi="黑体" w:eastAsia="黑体" w:cs="黑体"/>
          <w:color w:val="auto"/>
          <w:spacing w:val="-5"/>
          <w:sz w:val="32"/>
          <w:szCs w:val="32"/>
          <w:lang w:eastAsia="zh-CN"/>
        </w:rPr>
      </w:pPr>
      <w:r>
        <w:rPr>
          <w:rFonts w:hint="eastAsia" w:ascii="黑体" w:hAnsi="黑体" w:eastAsia="黑体" w:cs="黑体"/>
          <w:color w:val="auto"/>
          <w:spacing w:val="-5"/>
          <w:sz w:val="32"/>
          <w:szCs w:val="32"/>
          <w:lang w:eastAsia="zh-CN"/>
        </w:rPr>
        <w:t>五、保障措施</w:t>
      </w:r>
    </w:p>
    <w:p w14:paraId="316E4039">
      <w:pPr>
        <w:keepNext w:val="0"/>
        <w:keepLines w:val="0"/>
        <w:pageBreakBefore w:val="0"/>
        <w:widowControl w:val="0"/>
        <w:kinsoku/>
        <w:wordWrap/>
        <w:overflowPunct/>
        <w:topLinePunct w:val="0"/>
        <w:autoSpaceDE/>
        <w:autoSpaceDN/>
        <w:bidi w:val="0"/>
        <w:adjustRightInd/>
        <w:snapToGrid/>
        <w:spacing w:after="0" w:line="590" w:lineRule="exact"/>
        <w:ind w:firstLine="620" w:firstLineChars="200"/>
        <w:textAlignment w:val="auto"/>
        <w:rPr>
          <w:rFonts w:ascii="Times New Roman" w:hAnsi="Times New Roman" w:eastAsia="仿宋_GB2312" w:cs="仿宋_GB2312"/>
          <w:color w:val="auto"/>
          <w:spacing w:val="-5"/>
          <w:sz w:val="32"/>
          <w:szCs w:val="32"/>
          <w:lang w:eastAsia="zh-CN"/>
        </w:rPr>
      </w:pPr>
      <w:r>
        <w:rPr>
          <w:rFonts w:hint="eastAsia" w:ascii="楷体_GB2312" w:hAnsi="楷体_GB2312" w:eastAsia="楷体_GB2312" w:cs="楷体_GB2312"/>
          <w:color w:val="auto"/>
          <w:spacing w:val="-5"/>
          <w:sz w:val="32"/>
          <w:szCs w:val="32"/>
          <w:lang w:eastAsia="zh-CN"/>
        </w:rPr>
        <w:t>（一）加强组织调度。</w:t>
      </w:r>
      <w:r>
        <w:rPr>
          <w:rFonts w:hint="eastAsia" w:ascii="Times New Roman" w:hAnsi="Times New Roman" w:eastAsia="仿宋_GB2312" w:cs="仿宋_GB2312"/>
          <w:color w:val="auto"/>
          <w:spacing w:val="-5"/>
          <w:sz w:val="32"/>
          <w:szCs w:val="32"/>
          <w:lang w:eastAsia="zh-CN"/>
        </w:rPr>
        <w:t>各县（市、区）</w:t>
      </w:r>
      <w:r>
        <w:rPr>
          <w:rFonts w:hint="eastAsia" w:ascii="Times New Roman" w:hAnsi="Times New Roman" w:eastAsia="仿宋_GB2312" w:cs="仿宋_GB2312"/>
          <w:color w:val="auto"/>
          <w:spacing w:val="-5"/>
          <w:sz w:val="32"/>
          <w:szCs w:val="32"/>
          <w:lang w:val="en-US" w:eastAsia="zh-CN"/>
        </w:rPr>
        <w:t>卫健委</w:t>
      </w:r>
      <w:r>
        <w:rPr>
          <w:rFonts w:hint="eastAsia" w:ascii="Times New Roman" w:hAnsi="Times New Roman" w:eastAsia="仿宋_GB2312" w:cs="仿宋_GB2312"/>
          <w:color w:val="auto"/>
          <w:spacing w:val="-5"/>
          <w:sz w:val="32"/>
          <w:szCs w:val="32"/>
          <w:lang w:eastAsia="zh-CN"/>
        </w:rPr>
        <w:t>要进一步提高政治站位，加强组织领导，保障HPV疫苗和带状疱疹疫苗接种惠民项目顺利实施。要周密部署，按照“测任务、排进度、分责任、明措施”的要求，积极推进疫苗接种，满足群众接种需求。</w:t>
      </w:r>
    </w:p>
    <w:p w14:paraId="6DA2890B">
      <w:pPr>
        <w:pStyle w:val="3"/>
        <w:keepNext w:val="0"/>
        <w:keepLines w:val="0"/>
        <w:pageBreakBefore w:val="0"/>
        <w:widowControl w:val="0"/>
        <w:kinsoku/>
        <w:wordWrap/>
        <w:overflowPunct/>
        <w:topLinePunct w:val="0"/>
        <w:autoSpaceDE/>
        <w:autoSpaceDN/>
        <w:bidi w:val="0"/>
        <w:adjustRightInd/>
        <w:snapToGrid/>
        <w:spacing w:before="0" w:after="0" w:line="590" w:lineRule="exact"/>
        <w:ind w:firstLine="629" w:firstLineChars="0"/>
        <w:textAlignment w:val="auto"/>
        <w:rPr>
          <w:rFonts w:ascii="Times New Roman" w:hAnsi="Times New Roman" w:eastAsia="仿宋_GB2312" w:cs="仿宋_GB2312"/>
          <w:color w:val="auto"/>
          <w:spacing w:val="-5"/>
          <w:sz w:val="32"/>
          <w:szCs w:val="32"/>
          <w:lang w:eastAsia="zh-CN"/>
        </w:rPr>
      </w:pPr>
      <w:r>
        <w:rPr>
          <w:rFonts w:hint="eastAsia" w:ascii="楷体_GB2312" w:hAnsi="楷体_GB2312" w:eastAsia="楷体_GB2312" w:cs="楷体_GB2312"/>
          <w:color w:val="auto"/>
          <w:spacing w:val="-5"/>
          <w:sz w:val="32"/>
          <w:szCs w:val="32"/>
          <w:lang w:eastAsia="zh-CN"/>
        </w:rPr>
        <w:t>（二）加强技术支持。</w:t>
      </w:r>
      <w:r>
        <w:rPr>
          <w:rFonts w:hint="eastAsia" w:ascii="Times New Roman" w:hAnsi="Times New Roman" w:eastAsia="仿宋_GB2312" w:cs="仿宋_GB2312"/>
          <w:color w:val="auto"/>
          <w:spacing w:val="-5"/>
          <w:sz w:val="32"/>
          <w:szCs w:val="32"/>
          <w:lang w:eastAsia="zh-CN"/>
        </w:rPr>
        <w:t>市疾控中心要加强免疫规划信息管理系统登记和接种数据统计，对全市接种工作进行技术指导。各县（市、区）</w:t>
      </w:r>
      <w:r>
        <w:rPr>
          <w:rFonts w:hint="eastAsia" w:ascii="Times New Roman" w:hAnsi="Times New Roman" w:eastAsia="仿宋_GB2312" w:cs="仿宋_GB2312"/>
          <w:color w:val="auto"/>
          <w:spacing w:val="-5"/>
          <w:sz w:val="32"/>
          <w:szCs w:val="32"/>
          <w:lang w:val="en-US" w:eastAsia="zh-CN"/>
        </w:rPr>
        <w:t>卫健委和</w:t>
      </w:r>
      <w:r>
        <w:rPr>
          <w:rFonts w:hint="eastAsia" w:ascii="Times New Roman" w:hAnsi="Times New Roman" w:eastAsia="仿宋_GB2312" w:cs="仿宋_GB2312"/>
          <w:color w:val="auto"/>
          <w:spacing w:val="-5"/>
          <w:sz w:val="32"/>
          <w:szCs w:val="32"/>
          <w:lang w:eastAsia="zh-CN"/>
        </w:rPr>
        <w:t>疾控中心要指导接种门诊科学制定接种计划，精准申领疫苗，保持合理库存，提升疫苗精细化管理水平。</w:t>
      </w:r>
    </w:p>
    <w:p w14:paraId="0F706FFF">
      <w:pPr>
        <w:pStyle w:val="3"/>
        <w:keepNext w:val="0"/>
        <w:keepLines w:val="0"/>
        <w:pageBreakBefore w:val="0"/>
        <w:widowControl w:val="0"/>
        <w:kinsoku/>
        <w:wordWrap/>
        <w:overflowPunct/>
        <w:topLinePunct w:val="0"/>
        <w:autoSpaceDE/>
        <w:autoSpaceDN/>
        <w:bidi w:val="0"/>
        <w:adjustRightInd/>
        <w:snapToGrid/>
        <w:spacing w:before="0" w:after="0" w:line="590" w:lineRule="exact"/>
        <w:ind w:firstLine="629" w:firstLineChars="0"/>
        <w:textAlignment w:val="auto"/>
        <w:rPr>
          <w:rFonts w:ascii="Times New Roman" w:hAnsi="Times New Roman" w:eastAsia="仿宋_GB2312" w:cs="仿宋_GB2312"/>
          <w:color w:val="auto"/>
          <w:spacing w:val="-5"/>
          <w:sz w:val="32"/>
          <w:szCs w:val="32"/>
          <w:lang w:eastAsia="zh-CN"/>
        </w:rPr>
      </w:pPr>
      <w:r>
        <w:rPr>
          <w:rFonts w:hint="eastAsia" w:ascii="楷体_GB2312" w:hAnsi="楷体_GB2312" w:eastAsia="楷体_GB2312" w:cs="楷体_GB2312"/>
          <w:color w:val="auto"/>
          <w:spacing w:val="-5"/>
          <w:sz w:val="32"/>
          <w:szCs w:val="32"/>
          <w:lang w:eastAsia="zh-CN"/>
        </w:rPr>
        <w:t>（三）加强督导指导。</w:t>
      </w:r>
      <w:r>
        <w:rPr>
          <w:rFonts w:hint="eastAsia" w:ascii="Times New Roman" w:hAnsi="Times New Roman" w:eastAsia="仿宋_GB2312" w:cs="仿宋_GB2312"/>
          <w:color w:val="auto"/>
          <w:spacing w:val="-5"/>
          <w:sz w:val="32"/>
          <w:szCs w:val="32"/>
          <w:lang w:eastAsia="zh-CN"/>
        </w:rPr>
        <w:t>接种期间，各县（市、区）</w:t>
      </w:r>
      <w:r>
        <w:rPr>
          <w:rFonts w:hint="eastAsia" w:ascii="Times New Roman" w:hAnsi="Times New Roman" w:eastAsia="仿宋_GB2312" w:cs="仿宋_GB2312"/>
          <w:color w:val="auto"/>
          <w:spacing w:val="-5"/>
          <w:sz w:val="32"/>
          <w:szCs w:val="32"/>
          <w:lang w:val="en-US" w:eastAsia="zh-CN"/>
        </w:rPr>
        <w:t>卫健委要</w:t>
      </w:r>
      <w:r>
        <w:rPr>
          <w:rFonts w:hint="eastAsia" w:ascii="Times New Roman" w:hAnsi="Times New Roman" w:eastAsia="仿宋_GB2312" w:cs="仿宋_GB2312"/>
          <w:color w:val="auto"/>
          <w:spacing w:val="-5"/>
          <w:sz w:val="32"/>
          <w:szCs w:val="32"/>
          <w:lang w:eastAsia="zh-CN"/>
        </w:rPr>
        <w:t>加强疫苗接种工作指导和现场督导，开展疫苗相关知识和接种政策宣传，提高适龄人群知晓率，提升接种意愿。加强对疫苗接种相关舆情的收集、分析和研判，及时澄清不实传言和谣言，主动回应社会关切。</w:t>
      </w:r>
    </w:p>
    <w:p w14:paraId="67854CFF">
      <w:pPr>
        <w:pStyle w:val="3"/>
        <w:keepNext w:val="0"/>
        <w:keepLines w:val="0"/>
        <w:pageBreakBefore w:val="0"/>
        <w:widowControl w:val="0"/>
        <w:kinsoku/>
        <w:wordWrap/>
        <w:overflowPunct/>
        <w:topLinePunct w:val="0"/>
        <w:autoSpaceDE/>
        <w:autoSpaceDN/>
        <w:bidi w:val="0"/>
        <w:adjustRightInd/>
        <w:snapToGrid/>
        <w:spacing w:before="0" w:after="0" w:line="590" w:lineRule="exact"/>
        <w:ind w:firstLine="629" w:firstLineChars="0"/>
        <w:textAlignment w:val="auto"/>
        <w:rPr>
          <w:rFonts w:ascii="Times New Roman" w:hAnsi="Times New Roman" w:eastAsia="仿宋_GB2312" w:cs="仿宋_GB2312"/>
          <w:color w:val="auto"/>
          <w:spacing w:val="-5"/>
          <w:sz w:val="32"/>
          <w:szCs w:val="32"/>
          <w:lang w:eastAsia="zh-CN"/>
        </w:rPr>
      </w:pPr>
      <w:r>
        <w:rPr>
          <w:rFonts w:hint="eastAsia" w:ascii="Times New Roman" w:hAnsi="Times New Roman" w:eastAsia="仿宋_GB2312" w:cs="仿宋_GB2312"/>
          <w:color w:val="auto"/>
          <w:spacing w:val="-5"/>
          <w:sz w:val="32"/>
          <w:szCs w:val="32"/>
          <w:lang w:eastAsia="zh-CN"/>
        </w:rPr>
        <w:t>联系人及联系方式：</w:t>
      </w:r>
    </w:p>
    <w:p w14:paraId="7FE7B7C9">
      <w:pPr>
        <w:pStyle w:val="3"/>
        <w:keepNext w:val="0"/>
        <w:keepLines w:val="0"/>
        <w:pageBreakBefore w:val="0"/>
        <w:widowControl w:val="0"/>
        <w:kinsoku/>
        <w:wordWrap/>
        <w:overflowPunct/>
        <w:topLinePunct w:val="0"/>
        <w:autoSpaceDE/>
        <w:autoSpaceDN/>
        <w:bidi w:val="0"/>
        <w:adjustRightInd/>
        <w:snapToGrid/>
        <w:spacing w:before="0" w:after="0" w:line="590" w:lineRule="exact"/>
        <w:ind w:firstLine="629" w:firstLineChars="0"/>
        <w:textAlignment w:val="auto"/>
        <w:rPr>
          <w:rFonts w:ascii="Times New Roman" w:hAnsi="Times New Roman" w:eastAsia="仿宋_GB2312" w:cs="仿宋_GB2312"/>
          <w:color w:val="auto"/>
          <w:spacing w:val="-5"/>
          <w:sz w:val="32"/>
          <w:szCs w:val="32"/>
          <w:lang w:eastAsia="zh-CN"/>
        </w:rPr>
      </w:pPr>
      <w:r>
        <w:rPr>
          <w:rFonts w:hint="eastAsia" w:ascii="Times New Roman" w:hAnsi="Times New Roman" w:eastAsia="仿宋_GB2312" w:cs="仿宋_GB2312"/>
          <w:color w:val="auto"/>
          <w:spacing w:val="-5"/>
          <w:sz w:val="32"/>
          <w:szCs w:val="32"/>
          <w:lang w:eastAsia="zh-CN"/>
        </w:rPr>
        <w:t>市卫健</w:t>
      </w:r>
      <w:r>
        <w:rPr>
          <w:rFonts w:hint="eastAsia" w:ascii="Times New Roman" w:hAnsi="Times New Roman" w:eastAsia="仿宋_GB2312" w:cs="仿宋_GB2312"/>
          <w:color w:val="auto"/>
          <w:spacing w:val="-5"/>
          <w:sz w:val="32"/>
          <w:szCs w:val="32"/>
          <w:lang w:val="en-US" w:eastAsia="zh-CN"/>
        </w:rPr>
        <w:t>体</w:t>
      </w:r>
      <w:r>
        <w:rPr>
          <w:rFonts w:hint="eastAsia" w:ascii="Times New Roman" w:hAnsi="Times New Roman" w:eastAsia="仿宋_GB2312" w:cs="仿宋_GB2312"/>
          <w:color w:val="auto"/>
          <w:spacing w:val="-5"/>
          <w:sz w:val="32"/>
          <w:szCs w:val="32"/>
          <w:lang w:eastAsia="zh-CN"/>
        </w:rPr>
        <w:t>委</w:t>
      </w:r>
      <w:r>
        <w:rPr>
          <w:rFonts w:hint="eastAsia" w:ascii="Times New Roman" w:hAnsi="Times New Roman" w:eastAsia="仿宋_GB2312" w:cs="仿宋_GB2312"/>
          <w:color w:val="auto"/>
          <w:spacing w:val="-5"/>
          <w:sz w:val="32"/>
          <w:szCs w:val="32"/>
          <w:lang w:val="en-US" w:eastAsia="zh-CN"/>
        </w:rPr>
        <w:t>疾控</w:t>
      </w:r>
      <w:r>
        <w:rPr>
          <w:rFonts w:hint="eastAsia" w:ascii="Times New Roman" w:hAnsi="Times New Roman" w:eastAsia="仿宋_GB2312" w:cs="仿宋_GB2312"/>
          <w:color w:val="auto"/>
          <w:spacing w:val="-5"/>
          <w:sz w:val="32"/>
          <w:szCs w:val="32"/>
          <w:lang w:eastAsia="zh-CN"/>
        </w:rPr>
        <w:t xml:space="preserve">科    </w:t>
      </w:r>
      <w:r>
        <w:rPr>
          <w:rFonts w:hint="eastAsia" w:ascii="Times New Roman" w:hAnsi="Times New Roman" w:eastAsia="仿宋_GB2312" w:cs="仿宋_GB2312"/>
          <w:color w:val="auto"/>
          <w:spacing w:val="-5"/>
          <w:sz w:val="32"/>
          <w:szCs w:val="32"/>
          <w:lang w:val="en-US" w:eastAsia="zh-CN"/>
        </w:rPr>
        <w:t xml:space="preserve">             </w:t>
      </w:r>
      <w:r>
        <w:rPr>
          <w:rFonts w:hint="eastAsia" w:ascii="Times New Roman" w:hAnsi="Times New Roman" w:eastAsia="仿宋_GB2312" w:cs="仿宋_GB2312"/>
          <w:color w:val="auto"/>
          <w:spacing w:val="-5"/>
          <w:sz w:val="32"/>
          <w:szCs w:val="32"/>
          <w:lang w:eastAsia="zh-CN"/>
        </w:rPr>
        <w:t>周    会  0377-63155505</w:t>
      </w:r>
    </w:p>
    <w:p w14:paraId="7782A276">
      <w:pPr>
        <w:pStyle w:val="3"/>
        <w:keepNext w:val="0"/>
        <w:keepLines w:val="0"/>
        <w:pageBreakBefore w:val="0"/>
        <w:widowControl w:val="0"/>
        <w:kinsoku/>
        <w:wordWrap/>
        <w:overflowPunct/>
        <w:topLinePunct w:val="0"/>
        <w:autoSpaceDE/>
        <w:autoSpaceDN/>
        <w:bidi w:val="0"/>
        <w:adjustRightInd/>
        <w:snapToGrid/>
        <w:spacing w:before="0" w:after="0" w:line="590" w:lineRule="exact"/>
        <w:ind w:firstLine="629" w:firstLineChars="0"/>
        <w:textAlignment w:val="auto"/>
        <w:rPr>
          <w:rFonts w:ascii="Times New Roman" w:hAnsi="Times New Roman" w:eastAsia="仿宋_GB2312" w:cs="仿宋_GB2312"/>
          <w:color w:val="auto"/>
          <w:spacing w:val="-5"/>
          <w:sz w:val="32"/>
          <w:szCs w:val="32"/>
          <w:lang w:eastAsia="zh-CN"/>
        </w:rPr>
      </w:pPr>
      <w:r>
        <w:rPr>
          <w:rFonts w:hint="eastAsia" w:ascii="Times New Roman" w:hAnsi="Times New Roman" w:eastAsia="仿宋_GB2312" w:cs="仿宋_GB2312"/>
          <w:color w:val="auto"/>
          <w:spacing w:val="-5"/>
          <w:sz w:val="32"/>
          <w:szCs w:val="32"/>
          <w:lang w:eastAsia="zh-CN"/>
        </w:rPr>
        <w:t>市疾控中心免疫规划科        薛茜茜  0377-63310770</w:t>
      </w:r>
    </w:p>
    <w:p w14:paraId="699F803A">
      <w:pPr>
        <w:pStyle w:val="3"/>
        <w:keepNext w:val="0"/>
        <w:keepLines w:val="0"/>
        <w:pageBreakBefore w:val="0"/>
        <w:widowControl w:val="0"/>
        <w:kinsoku/>
        <w:wordWrap/>
        <w:overflowPunct/>
        <w:topLinePunct w:val="0"/>
        <w:autoSpaceDE/>
        <w:autoSpaceDN/>
        <w:bidi w:val="0"/>
        <w:adjustRightInd/>
        <w:snapToGrid/>
        <w:spacing w:before="0" w:after="0" w:line="590" w:lineRule="exact"/>
        <w:ind w:firstLine="629" w:firstLineChars="0"/>
        <w:textAlignment w:val="auto"/>
        <w:rPr>
          <w:rFonts w:ascii="Times New Roman" w:hAnsi="Times New Roman" w:eastAsia="仿宋_GB2312" w:cs="仿宋_GB2312"/>
          <w:color w:val="auto"/>
          <w:spacing w:val="-5"/>
          <w:sz w:val="32"/>
          <w:szCs w:val="32"/>
          <w:lang w:eastAsia="zh-CN"/>
        </w:rPr>
      </w:pPr>
      <w:r>
        <w:rPr>
          <w:rFonts w:hint="eastAsia" w:ascii="Times New Roman" w:hAnsi="Times New Roman" w:eastAsia="仿宋_GB2312" w:cs="仿宋_GB2312"/>
          <w:color w:val="auto"/>
          <w:spacing w:val="-5"/>
          <w:sz w:val="32"/>
          <w:szCs w:val="32"/>
          <w:lang w:eastAsia="zh-CN"/>
        </w:rPr>
        <w:t>邮</w:t>
      </w:r>
      <w:r>
        <w:rPr>
          <w:rFonts w:hint="eastAsia" w:ascii="Times New Roman" w:hAnsi="Times New Roman" w:eastAsia="仿宋_GB2312" w:cs="仿宋_GB2312"/>
          <w:color w:val="auto"/>
          <w:spacing w:val="-5"/>
          <w:sz w:val="32"/>
          <w:szCs w:val="32"/>
          <w:lang w:val="en-US" w:eastAsia="zh-CN"/>
        </w:rPr>
        <w:t xml:space="preserve">  </w:t>
      </w:r>
      <w:r>
        <w:rPr>
          <w:rFonts w:hint="eastAsia" w:ascii="Times New Roman" w:hAnsi="Times New Roman" w:eastAsia="仿宋_GB2312" w:cs="仿宋_GB2312"/>
          <w:color w:val="auto"/>
          <w:spacing w:val="-5"/>
          <w:sz w:val="32"/>
          <w:szCs w:val="32"/>
          <w:lang w:eastAsia="zh-CN"/>
        </w:rPr>
        <w:t>箱：nymygh@126.com</w:t>
      </w:r>
    </w:p>
    <w:bookmarkEnd w:id="0"/>
    <w:p w14:paraId="2707188C">
      <w:pPr>
        <w:pStyle w:val="28"/>
        <w:keepNext w:val="0"/>
        <w:keepLines w:val="0"/>
        <w:pageBreakBefore w:val="0"/>
        <w:widowControl w:val="0"/>
        <w:kinsoku/>
        <w:wordWrap/>
        <w:overflowPunct/>
        <w:topLinePunct w:val="0"/>
        <w:autoSpaceDE/>
        <w:autoSpaceDN/>
        <w:bidi w:val="0"/>
        <w:adjustRightInd/>
        <w:snapToGrid/>
        <w:spacing w:line="590" w:lineRule="exact"/>
        <w:ind w:firstLine="640"/>
        <w:textAlignment w:val="auto"/>
        <w:rPr>
          <w:rFonts w:ascii="Times New Roman" w:hAnsi="Times New Roman" w:eastAsia="仿宋_GB2312" w:cs="仿宋_GB2312"/>
          <w:color w:val="auto"/>
          <w:sz w:val="32"/>
          <w:szCs w:val="32"/>
          <w:lang w:eastAsia="zh-CN"/>
        </w:rPr>
      </w:pPr>
    </w:p>
    <w:p w14:paraId="564586C7">
      <w:pPr>
        <w:pStyle w:val="28"/>
        <w:keepNext w:val="0"/>
        <w:keepLines w:val="0"/>
        <w:pageBreakBefore w:val="0"/>
        <w:widowControl w:val="0"/>
        <w:kinsoku/>
        <w:wordWrap/>
        <w:overflowPunct/>
        <w:topLinePunct w:val="0"/>
        <w:autoSpaceDE/>
        <w:autoSpaceDN/>
        <w:bidi w:val="0"/>
        <w:adjustRightInd/>
        <w:snapToGrid/>
        <w:spacing w:after="0" w:line="590" w:lineRule="exact"/>
        <w:ind w:firstLine="640"/>
        <w:textAlignment w:val="auto"/>
        <w:rPr>
          <w:rFonts w:ascii="Times New Roman" w:hAnsi="Times New Roman" w:eastAsia="仿宋_GB2312" w:cs="仿宋_GB2312"/>
          <w:color w:val="auto"/>
          <w:sz w:val="32"/>
          <w:szCs w:val="32"/>
          <w:lang w:eastAsia="zh-CN"/>
        </w:rPr>
      </w:pPr>
      <w:r>
        <w:rPr>
          <w:rFonts w:hint="eastAsia" w:ascii="Times New Roman" w:hAnsi="Times New Roman" w:eastAsia="仿宋_GB2312" w:cs="仿宋_GB2312"/>
          <w:color w:val="auto"/>
          <w:sz w:val="32"/>
          <w:szCs w:val="32"/>
          <w:lang w:eastAsia="zh-CN"/>
        </w:rPr>
        <w:t>附件：1.适龄人群HPV疫苗接种惠民活动告知书</w:t>
      </w:r>
    </w:p>
    <w:p w14:paraId="44506AEA">
      <w:pPr>
        <w:pStyle w:val="28"/>
        <w:keepNext w:val="0"/>
        <w:keepLines w:val="0"/>
        <w:pageBreakBefore w:val="0"/>
        <w:widowControl w:val="0"/>
        <w:kinsoku/>
        <w:wordWrap/>
        <w:overflowPunct/>
        <w:topLinePunct w:val="0"/>
        <w:autoSpaceDE/>
        <w:autoSpaceDN/>
        <w:bidi w:val="0"/>
        <w:adjustRightInd/>
        <w:snapToGrid/>
        <w:spacing w:after="0" w:line="590" w:lineRule="exact"/>
        <w:ind w:left="1916" w:leftChars="665" w:hanging="320" w:hangingChars="100"/>
        <w:textAlignment w:val="auto"/>
        <w:rPr>
          <w:rFonts w:ascii="Times New Roman" w:hAnsi="Times New Roman" w:eastAsia="仿宋_GB2312" w:cs="仿宋_GB2312"/>
          <w:color w:val="auto"/>
          <w:sz w:val="32"/>
          <w:szCs w:val="32"/>
          <w:lang w:eastAsia="zh-CN"/>
        </w:rPr>
      </w:pPr>
      <w:r>
        <w:rPr>
          <w:rFonts w:hint="eastAsia" w:ascii="Times New Roman" w:hAnsi="Times New Roman" w:eastAsia="仿宋_GB2312" w:cs="仿宋_GB2312"/>
          <w:color w:val="auto"/>
          <w:sz w:val="32"/>
          <w:szCs w:val="32"/>
          <w:lang w:eastAsia="zh-CN"/>
        </w:rPr>
        <w:t>2.适龄人群HPV疫苗接种意愿摸底统计表</w:t>
      </w:r>
    </w:p>
    <w:p w14:paraId="5C227F0E">
      <w:pPr>
        <w:pStyle w:val="28"/>
        <w:keepNext w:val="0"/>
        <w:keepLines w:val="0"/>
        <w:pageBreakBefore w:val="0"/>
        <w:widowControl w:val="0"/>
        <w:kinsoku/>
        <w:wordWrap/>
        <w:overflowPunct/>
        <w:topLinePunct w:val="0"/>
        <w:autoSpaceDE/>
        <w:autoSpaceDN/>
        <w:bidi w:val="0"/>
        <w:adjustRightInd/>
        <w:snapToGrid/>
        <w:spacing w:after="0" w:line="590" w:lineRule="exact"/>
        <w:ind w:left="1916" w:leftChars="665" w:hanging="320" w:hangingChars="100"/>
        <w:textAlignment w:val="auto"/>
        <w:rPr>
          <w:rFonts w:ascii="Times New Roman" w:hAnsi="Times New Roman" w:eastAsia="仿宋_GB2312" w:cs="仿宋_GB2312"/>
          <w:color w:val="auto"/>
          <w:sz w:val="32"/>
          <w:szCs w:val="32"/>
          <w:lang w:eastAsia="zh-CN"/>
        </w:rPr>
      </w:pPr>
      <w:r>
        <w:rPr>
          <w:rFonts w:hint="eastAsia" w:ascii="Times New Roman" w:hAnsi="Times New Roman" w:eastAsia="仿宋_GB2312" w:cs="仿宋_GB2312"/>
          <w:color w:val="auto"/>
          <w:sz w:val="32"/>
          <w:szCs w:val="32"/>
          <w:lang w:eastAsia="zh-CN"/>
        </w:rPr>
        <w:t>3.50岁及以上人群带状疱疹疫苗接种惠民活动告知书</w:t>
      </w:r>
    </w:p>
    <w:p w14:paraId="32711314">
      <w:pPr>
        <w:pStyle w:val="28"/>
        <w:keepNext w:val="0"/>
        <w:keepLines w:val="0"/>
        <w:pageBreakBefore w:val="0"/>
        <w:widowControl w:val="0"/>
        <w:kinsoku/>
        <w:wordWrap/>
        <w:overflowPunct/>
        <w:topLinePunct w:val="0"/>
        <w:autoSpaceDE/>
        <w:autoSpaceDN/>
        <w:bidi w:val="0"/>
        <w:adjustRightInd/>
        <w:snapToGrid/>
        <w:spacing w:after="0" w:line="590" w:lineRule="exact"/>
        <w:ind w:left="1916" w:leftChars="665" w:hanging="320" w:hangingChars="100"/>
        <w:textAlignment w:val="auto"/>
        <w:rPr>
          <w:rFonts w:ascii="Times New Roman" w:hAnsi="Times New Roman" w:eastAsia="仿宋_GB2312" w:cs="仿宋_GB2312"/>
          <w:color w:val="auto"/>
          <w:sz w:val="32"/>
          <w:szCs w:val="32"/>
          <w:lang w:eastAsia="zh-CN"/>
        </w:rPr>
      </w:pPr>
      <w:r>
        <w:rPr>
          <w:rFonts w:hint="eastAsia" w:ascii="Times New Roman" w:hAnsi="Times New Roman" w:eastAsia="仿宋_GB2312" w:cs="仿宋_GB2312"/>
          <w:color w:val="auto"/>
          <w:sz w:val="32"/>
          <w:szCs w:val="32"/>
          <w:lang w:eastAsia="zh-CN"/>
        </w:rPr>
        <w:t>4.50岁及以上人群带状疱疹疫苗接种意愿摸底统计表</w:t>
      </w:r>
    </w:p>
    <w:p w14:paraId="0C2E051D">
      <w:pPr>
        <w:pStyle w:val="28"/>
        <w:keepNext w:val="0"/>
        <w:keepLines w:val="0"/>
        <w:pageBreakBefore w:val="0"/>
        <w:widowControl w:val="0"/>
        <w:kinsoku/>
        <w:wordWrap/>
        <w:overflowPunct/>
        <w:topLinePunct w:val="0"/>
        <w:autoSpaceDE/>
        <w:autoSpaceDN/>
        <w:bidi w:val="0"/>
        <w:adjustRightInd/>
        <w:snapToGrid/>
        <w:spacing w:line="590" w:lineRule="exact"/>
        <w:ind w:left="1916" w:leftChars="665" w:hanging="320" w:hangingChars="100"/>
        <w:textAlignment w:val="auto"/>
        <w:rPr>
          <w:rFonts w:ascii="Times New Roman" w:hAnsi="Times New Roman" w:eastAsia="仿宋_GB2312" w:cs="仿宋_GB2312"/>
          <w:color w:val="auto"/>
          <w:sz w:val="32"/>
          <w:szCs w:val="32"/>
          <w:lang w:eastAsia="zh-CN"/>
        </w:rPr>
      </w:pPr>
    </w:p>
    <w:p w14:paraId="0C2E5798">
      <w:pPr>
        <w:pStyle w:val="28"/>
        <w:keepNext w:val="0"/>
        <w:keepLines w:val="0"/>
        <w:pageBreakBefore w:val="0"/>
        <w:widowControl w:val="0"/>
        <w:kinsoku/>
        <w:wordWrap/>
        <w:overflowPunct/>
        <w:topLinePunct w:val="0"/>
        <w:autoSpaceDE/>
        <w:autoSpaceDN/>
        <w:bidi w:val="0"/>
        <w:adjustRightInd/>
        <w:snapToGrid/>
        <w:spacing w:line="590" w:lineRule="exact"/>
        <w:ind w:left="1916" w:leftChars="665" w:hanging="320" w:hangingChars="100"/>
        <w:textAlignment w:val="auto"/>
        <w:rPr>
          <w:rFonts w:ascii="Times New Roman" w:hAnsi="Times New Roman" w:eastAsia="仿宋_GB2312" w:cs="仿宋_GB2312"/>
          <w:color w:val="auto"/>
          <w:sz w:val="32"/>
          <w:szCs w:val="32"/>
          <w:lang w:eastAsia="zh-CN"/>
        </w:rPr>
      </w:pPr>
    </w:p>
    <w:p w14:paraId="75840606">
      <w:pPr>
        <w:pStyle w:val="28"/>
        <w:keepNext w:val="0"/>
        <w:keepLines w:val="0"/>
        <w:pageBreakBefore w:val="0"/>
        <w:widowControl w:val="0"/>
        <w:kinsoku/>
        <w:wordWrap/>
        <w:overflowPunct/>
        <w:topLinePunct w:val="0"/>
        <w:autoSpaceDE/>
        <w:autoSpaceDN/>
        <w:bidi w:val="0"/>
        <w:adjustRightInd/>
        <w:snapToGrid/>
        <w:spacing w:line="590" w:lineRule="exact"/>
        <w:ind w:left="1916" w:leftChars="665" w:hanging="320" w:hangingChars="100"/>
        <w:textAlignment w:val="auto"/>
        <w:rPr>
          <w:rFonts w:ascii="Times New Roman" w:hAnsi="Times New Roman" w:eastAsia="仿宋_GB2312" w:cs="仿宋_GB2312"/>
          <w:color w:val="auto"/>
          <w:sz w:val="32"/>
          <w:szCs w:val="32"/>
          <w:lang w:eastAsia="zh-CN"/>
        </w:rPr>
      </w:pPr>
    </w:p>
    <w:p w14:paraId="03D5EF5F">
      <w:pPr>
        <w:pStyle w:val="28"/>
        <w:ind w:left="1916" w:leftChars="665" w:hanging="320" w:hangingChars="100"/>
        <w:rPr>
          <w:rFonts w:ascii="Times New Roman" w:hAnsi="Times New Roman" w:eastAsia="仿宋_GB2312" w:cs="仿宋_GB2312"/>
          <w:color w:val="auto"/>
          <w:sz w:val="32"/>
          <w:szCs w:val="32"/>
          <w:lang w:eastAsia="zh-CN"/>
        </w:rPr>
      </w:pPr>
    </w:p>
    <w:p w14:paraId="64FBD8A8">
      <w:pPr>
        <w:pStyle w:val="28"/>
        <w:ind w:left="1916" w:leftChars="665" w:hanging="320" w:hangingChars="100"/>
        <w:rPr>
          <w:rFonts w:ascii="Times New Roman" w:hAnsi="Times New Roman" w:eastAsia="仿宋_GB2312" w:cs="仿宋_GB2312"/>
          <w:color w:val="auto"/>
          <w:sz w:val="32"/>
          <w:szCs w:val="32"/>
          <w:lang w:eastAsia="zh-CN"/>
        </w:rPr>
      </w:pPr>
    </w:p>
    <w:p w14:paraId="146B6F4D">
      <w:pPr>
        <w:pStyle w:val="28"/>
        <w:ind w:left="1916" w:leftChars="665" w:hanging="320" w:hangingChars="100"/>
        <w:rPr>
          <w:rFonts w:ascii="Times New Roman" w:hAnsi="Times New Roman" w:eastAsia="仿宋_GB2312" w:cs="仿宋_GB2312"/>
          <w:color w:val="auto"/>
          <w:sz w:val="32"/>
          <w:szCs w:val="32"/>
          <w:lang w:eastAsia="zh-CN"/>
        </w:rPr>
      </w:pPr>
    </w:p>
    <w:p w14:paraId="12545863">
      <w:pPr>
        <w:pStyle w:val="28"/>
        <w:ind w:left="1916" w:leftChars="665" w:hanging="320" w:hangingChars="100"/>
        <w:rPr>
          <w:rFonts w:ascii="Times New Roman" w:hAnsi="Times New Roman" w:eastAsia="仿宋_GB2312" w:cs="仿宋_GB2312"/>
          <w:color w:val="auto"/>
          <w:sz w:val="32"/>
          <w:szCs w:val="32"/>
          <w:lang w:eastAsia="zh-CN"/>
        </w:rPr>
      </w:pPr>
    </w:p>
    <w:p w14:paraId="3F74ACCF">
      <w:pPr>
        <w:pStyle w:val="28"/>
        <w:ind w:left="1916" w:leftChars="665" w:hanging="320" w:hangingChars="100"/>
        <w:rPr>
          <w:rFonts w:ascii="Times New Roman" w:hAnsi="Times New Roman" w:eastAsia="仿宋_GB2312" w:cs="仿宋_GB2312"/>
          <w:color w:val="auto"/>
          <w:sz w:val="32"/>
          <w:szCs w:val="32"/>
          <w:lang w:eastAsia="zh-CN"/>
        </w:rPr>
      </w:pPr>
    </w:p>
    <w:p w14:paraId="2A5418AF">
      <w:pPr>
        <w:pStyle w:val="28"/>
        <w:ind w:left="1916" w:leftChars="665" w:hanging="320" w:hangingChars="100"/>
        <w:rPr>
          <w:rFonts w:ascii="Times New Roman" w:hAnsi="Times New Roman" w:eastAsia="仿宋_GB2312" w:cs="仿宋_GB2312"/>
          <w:color w:val="auto"/>
          <w:sz w:val="32"/>
          <w:szCs w:val="32"/>
          <w:lang w:eastAsia="zh-CN"/>
        </w:rPr>
      </w:pPr>
    </w:p>
    <w:p w14:paraId="04AE222B">
      <w:pPr>
        <w:pStyle w:val="28"/>
        <w:ind w:left="1916" w:leftChars="665" w:hanging="320" w:hangingChars="100"/>
        <w:rPr>
          <w:rFonts w:ascii="Times New Roman" w:hAnsi="Times New Roman" w:eastAsia="仿宋_GB2312" w:cs="仿宋_GB2312"/>
          <w:color w:val="auto"/>
          <w:sz w:val="32"/>
          <w:szCs w:val="32"/>
          <w:lang w:eastAsia="zh-CN"/>
        </w:rPr>
      </w:pPr>
    </w:p>
    <w:p w14:paraId="68A3101C">
      <w:pPr>
        <w:pStyle w:val="28"/>
        <w:ind w:left="1916" w:leftChars="665" w:hanging="320" w:hangingChars="100"/>
        <w:rPr>
          <w:rFonts w:ascii="Times New Roman" w:hAnsi="Times New Roman" w:eastAsia="仿宋_GB2312" w:cs="仿宋_GB2312"/>
          <w:color w:val="auto"/>
          <w:sz w:val="32"/>
          <w:szCs w:val="32"/>
          <w:lang w:eastAsia="zh-CN"/>
        </w:rPr>
      </w:pPr>
    </w:p>
    <w:p w14:paraId="223C9516">
      <w:pPr>
        <w:pStyle w:val="28"/>
        <w:ind w:left="1916" w:leftChars="665" w:hanging="320" w:hangingChars="100"/>
        <w:rPr>
          <w:rFonts w:ascii="Times New Roman" w:hAnsi="Times New Roman" w:eastAsia="仿宋_GB2312" w:cs="仿宋_GB2312"/>
          <w:color w:val="auto"/>
          <w:sz w:val="32"/>
          <w:szCs w:val="32"/>
          <w:lang w:eastAsia="zh-CN"/>
        </w:rPr>
      </w:pPr>
    </w:p>
    <w:p w14:paraId="44A1E97A">
      <w:pPr>
        <w:pStyle w:val="28"/>
        <w:ind w:left="1916" w:leftChars="665" w:hanging="320" w:hangingChars="100"/>
        <w:rPr>
          <w:rFonts w:ascii="Times New Roman" w:hAnsi="Times New Roman" w:eastAsia="仿宋_GB2312" w:cs="仿宋_GB2312"/>
          <w:color w:val="auto"/>
          <w:sz w:val="32"/>
          <w:szCs w:val="32"/>
          <w:lang w:eastAsia="zh-CN"/>
        </w:rPr>
      </w:pPr>
    </w:p>
    <w:p w14:paraId="454FF9F0">
      <w:pPr>
        <w:pStyle w:val="28"/>
        <w:ind w:left="1916" w:leftChars="665" w:hanging="320" w:hangingChars="100"/>
        <w:rPr>
          <w:rFonts w:ascii="Times New Roman" w:hAnsi="Times New Roman" w:eastAsia="仿宋_GB2312" w:cs="仿宋_GB2312"/>
          <w:color w:val="auto"/>
          <w:sz w:val="32"/>
          <w:szCs w:val="32"/>
          <w:lang w:eastAsia="zh-CN"/>
        </w:rPr>
      </w:pPr>
    </w:p>
    <w:p w14:paraId="5C86E986">
      <w:pPr>
        <w:keepNext w:val="0"/>
        <w:keepLines w:val="0"/>
        <w:pageBreakBefore w:val="0"/>
        <w:kinsoku/>
        <w:wordWrap/>
        <w:overflowPunct/>
        <w:topLinePunct w:val="0"/>
        <w:autoSpaceDE/>
        <w:autoSpaceDN/>
        <w:bidi w:val="0"/>
        <w:adjustRightInd/>
        <w:snapToGrid/>
        <w:spacing w:after="0" w:line="224" w:lineRule="auto"/>
        <w:textAlignment w:val="auto"/>
        <w:rPr>
          <w:rFonts w:hint="eastAsia" w:ascii="黑体" w:hAnsi="黑体" w:eastAsia="黑体" w:cs="黑体"/>
          <w:color w:val="auto"/>
          <w:spacing w:val="-38"/>
          <w:sz w:val="32"/>
          <w:szCs w:val="32"/>
          <w:lang w:eastAsia="zh-CN"/>
        </w:rPr>
      </w:pPr>
      <w:r>
        <w:rPr>
          <w:rFonts w:hint="eastAsia" w:ascii="黑体" w:hAnsi="黑体" w:eastAsia="黑体" w:cs="黑体"/>
          <w:color w:val="auto"/>
          <w:spacing w:val="-16"/>
          <w:sz w:val="32"/>
          <w:szCs w:val="32"/>
          <w:lang w:eastAsia="zh-CN"/>
        </w:rPr>
        <w:t>附件</w:t>
      </w:r>
      <w:r>
        <w:rPr>
          <w:rFonts w:hint="eastAsia" w:ascii="黑体" w:hAnsi="黑体" w:eastAsia="黑体" w:cs="黑体"/>
          <w:color w:val="auto"/>
          <w:spacing w:val="-38"/>
          <w:sz w:val="32"/>
          <w:szCs w:val="32"/>
          <w:lang w:eastAsia="zh-CN"/>
        </w:rPr>
        <w:t>1</w:t>
      </w:r>
    </w:p>
    <w:p w14:paraId="708E6047">
      <w:pPr>
        <w:keepNext w:val="0"/>
        <w:keepLines w:val="0"/>
        <w:pageBreakBefore w:val="0"/>
        <w:kinsoku/>
        <w:wordWrap/>
        <w:overflowPunct/>
        <w:topLinePunct w:val="0"/>
        <w:autoSpaceDE/>
        <w:autoSpaceDN/>
        <w:bidi w:val="0"/>
        <w:adjustRightInd/>
        <w:snapToGrid/>
        <w:spacing w:after="0" w:line="224" w:lineRule="auto"/>
        <w:textAlignment w:val="auto"/>
        <w:rPr>
          <w:rFonts w:hint="eastAsia" w:ascii="黑体" w:hAnsi="黑体" w:eastAsia="黑体" w:cs="黑体"/>
          <w:color w:val="auto"/>
          <w:spacing w:val="-38"/>
          <w:sz w:val="32"/>
          <w:szCs w:val="32"/>
          <w:lang w:eastAsia="zh-CN"/>
        </w:rPr>
      </w:pPr>
    </w:p>
    <w:p w14:paraId="3EB9982A">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方正小标宋_GBK" w:hAnsi="方正小标宋_GBK" w:eastAsia="方正小标宋_GBK" w:cs="方正小标宋_GBK"/>
          <w:color w:val="auto"/>
          <w:sz w:val="36"/>
          <w:szCs w:val="36"/>
          <w:lang w:eastAsia="zh-CN"/>
        </w:rPr>
      </w:pPr>
      <w:r>
        <w:rPr>
          <w:rFonts w:hint="eastAsia" w:ascii="方正小标宋_GBK" w:hAnsi="方正小标宋_GBK" w:eastAsia="方正小标宋_GBK" w:cs="方正小标宋_GBK"/>
          <w:color w:val="auto"/>
          <w:sz w:val="36"/>
          <w:szCs w:val="36"/>
          <w:lang w:eastAsia="zh-CN"/>
        </w:rPr>
        <w:t>适龄人群HPV疫苗接种惠民活动告知书（参考）</w:t>
      </w:r>
    </w:p>
    <w:p w14:paraId="710F5EF8">
      <w:pPr>
        <w:keepNext w:val="0"/>
        <w:keepLines w:val="0"/>
        <w:pageBreakBefore w:val="0"/>
        <w:widowControl w:val="0"/>
        <w:kinsoku/>
        <w:wordWrap/>
        <w:overflowPunct/>
        <w:topLinePunct w:val="0"/>
        <w:autoSpaceDE/>
        <w:autoSpaceDN/>
        <w:bidi w:val="0"/>
        <w:adjustRightInd/>
        <w:snapToGrid/>
        <w:spacing w:after="0" w:line="440" w:lineRule="exact"/>
        <w:textAlignment w:val="auto"/>
        <w:rPr>
          <w:rFonts w:hint="eastAsia" w:ascii="仿宋" w:hAnsi="仿宋" w:eastAsia="仿宋" w:cs="仿宋"/>
          <w:color w:val="auto"/>
          <w:spacing w:val="-5"/>
          <w:sz w:val="28"/>
          <w:szCs w:val="28"/>
          <w:lang w:eastAsia="zh-CN"/>
        </w:rPr>
      </w:pPr>
      <w:r>
        <w:rPr>
          <w:rFonts w:hint="eastAsia" w:ascii="仿宋" w:hAnsi="仿宋" w:eastAsia="仿宋" w:cs="仿宋"/>
          <w:color w:val="auto"/>
          <w:spacing w:val="-5"/>
          <w:sz w:val="28"/>
          <w:szCs w:val="28"/>
          <w:lang w:eastAsia="zh-CN"/>
        </w:rPr>
        <w:t>亲爱的居民朋友、</w:t>
      </w:r>
      <w:r>
        <w:rPr>
          <w:rFonts w:hint="eastAsia" w:ascii="仿宋" w:hAnsi="仿宋" w:eastAsia="仿宋" w:cs="仿宋"/>
          <w:color w:val="auto"/>
          <w:spacing w:val="-5"/>
          <w:sz w:val="28"/>
          <w:szCs w:val="28"/>
          <w:lang w:val="en-US" w:eastAsia="zh-CN"/>
        </w:rPr>
        <w:t>中小学校和高校学生</w:t>
      </w:r>
      <w:r>
        <w:rPr>
          <w:rFonts w:hint="eastAsia" w:ascii="仿宋" w:hAnsi="仿宋" w:eastAsia="仿宋" w:cs="仿宋"/>
          <w:color w:val="auto"/>
          <w:spacing w:val="-5"/>
          <w:sz w:val="28"/>
          <w:szCs w:val="28"/>
          <w:lang w:eastAsia="zh-CN"/>
        </w:rPr>
        <w:t>：</w:t>
      </w:r>
    </w:p>
    <w:p w14:paraId="6FC0A301">
      <w:pPr>
        <w:pStyle w:val="3"/>
        <w:keepNext w:val="0"/>
        <w:keepLines w:val="0"/>
        <w:pageBreakBefore w:val="0"/>
        <w:kinsoku/>
        <w:wordWrap/>
        <w:overflowPunct/>
        <w:topLinePunct w:val="0"/>
        <w:autoSpaceDE/>
        <w:autoSpaceDN/>
        <w:bidi w:val="0"/>
        <w:adjustRightInd/>
        <w:snapToGrid/>
        <w:spacing w:before="0" w:after="0" w:line="440" w:lineRule="exact"/>
        <w:ind w:left="10" w:firstLine="550"/>
        <w:textAlignment w:val="auto"/>
        <w:rPr>
          <w:rFonts w:hint="eastAsia" w:ascii="仿宋" w:hAnsi="仿宋" w:eastAsia="仿宋" w:cs="仿宋"/>
          <w:color w:val="auto"/>
          <w:spacing w:val="-5"/>
          <w:sz w:val="28"/>
          <w:szCs w:val="28"/>
          <w:lang w:val="en-US" w:eastAsia="zh-CN" w:bidi="ar-SA"/>
        </w:rPr>
      </w:pPr>
      <w:r>
        <w:rPr>
          <w:rFonts w:hint="eastAsia" w:ascii="仿宋" w:hAnsi="仿宋" w:eastAsia="仿宋" w:cs="仿宋"/>
          <w:color w:val="auto"/>
          <w:spacing w:val="-5"/>
          <w:sz w:val="28"/>
          <w:szCs w:val="28"/>
          <w:lang w:val="en-US" w:eastAsia="zh-CN" w:bidi="ar-SA"/>
        </w:rPr>
        <w:t>宫颈癌是常见的女性恶性肿瘤，近年来我国宫颈癌的发病率和死亡率呈上升趋势，且有年轻化的态势，据报道最小宫颈癌患者仅为15岁。中国女性的HPV感染年龄呈双峰分布，17-24岁是感染的第一个高峰，40-44岁是感染的第二个高峰。</w:t>
      </w:r>
    </w:p>
    <w:p w14:paraId="68F8F773">
      <w:pPr>
        <w:keepNext w:val="0"/>
        <w:keepLines w:val="0"/>
        <w:pageBreakBefore w:val="0"/>
        <w:widowControl w:val="0"/>
        <w:kinsoku/>
        <w:wordWrap/>
        <w:overflowPunct/>
        <w:topLinePunct w:val="0"/>
        <w:autoSpaceDE/>
        <w:autoSpaceDN/>
        <w:bidi w:val="0"/>
        <w:adjustRightInd/>
        <w:snapToGrid/>
        <w:spacing w:after="0" w:line="440" w:lineRule="exact"/>
        <w:ind w:firstLine="540" w:firstLineChars="200"/>
        <w:textAlignment w:val="auto"/>
        <w:rPr>
          <w:rFonts w:hint="eastAsia" w:ascii="仿宋" w:hAnsi="仿宋" w:eastAsia="仿宋" w:cs="仿宋"/>
          <w:color w:val="auto"/>
          <w:spacing w:val="-5"/>
          <w:sz w:val="28"/>
          <w:szCs w:val="28"/>
          <w:lang w:val="en-US" w:eastAsia="zh-CN" w:bidi="ar-SA"/>
        </w:rPr>
      </w:pPr>
      <w:r>
        <w:rPr>
          <w:rFonts w:hint="eastAsia" w:ascii="仿宋" w:hAnsi="仿宋" w:eastAsia="仿宋" w:cs="仿宋"/>
          <w:color w:val="auto"/>
          <w:spacing w:val="-5"/>
          <w:sz w:val="28"/>
          <w:szCs w:val="28"/>
          <w:lang w:val="en-US" w:eastAsia="zh-CN" w:bidi="ar-SA"/>
        </w:rPr>
        <w:t>据统计，2022年我国新发的宫颈癌病例是15.1万例，居女性癌症发病的第五位，当年死亡的病例是5.6万例，居女性癌症死亡的第六位，宫颈癌对妇女健康的危害日益凸显。世界卫生组织明确：接种HPV疫苗是预防宫颈癌的一级预防手段，也是最经济、最有效的手段。</w:t>
      </w:r>
    </w:p>
    <w:p w14:paraId="08BA3D35">
      <w:pPr>
        <w:keepNext w:val="0"/>
        <w:keepLines w:val="0"/>
        <w:pageBreakBefore w:val="0"/>
        <w:widowControl w:val="0"/>
        <w:kinsoku/>
        <w:wordWrap/>
        <w:overflowPunct/>
        <w:topLinePunct w:val="0"/>
        <w:autoSpaceDE/>
        <w:autoSpaceDN/>
        <w:bidi w:val="0"/>
        <w:adjustRightInd/>
        <w:snapToGrid/>
        <w:spacing w:after="0" w:line="440" w:lineRule="exact"/>
        <w:ind w:firstLine="540" w:firstLineChars="200"/>
        <w:textAlignment w:val="auto"/>
        <w:rPr>
          <w:rFonts w:hint="eastAsia" w:ascii="仿宋" w:hAnsi="仿宋" w:eastAsia="仿宋" w:cs="仿宋"/>
          <w:color w:val="auto"/>
          <w:spacing w:val="-5"/>
          <w:sz w:val="28"/>
          <w:szCs w:val="28"/>
          <w:lang w:val="en-US" w:eastAsia="zh-CN" w:bidi="ar-SA"/>
        </w:rPr>
      </w:pPr>
      <w:r>
        <w:rPr>
          <w:rFonts w:hint="eastAsia" w:ascii="仿宋" w:hAnsi="仿宋" w:eastAsia="仿宋" w:cs="仿宋"/>
          <w:color w:val="auto"/>
          <w:spacing w:val="-5"/>
          <w:sz w:val="28"/>
          <w:szCs w:val="28"/>
          <w:lang w:val="en-US" w:eastAsia="zh-CN" w:bidi="ar-SA"/>
        </w:rPr>
        <w:t>本次惠民活动旨在为南阳市9-45岁、既往无HPV疫苗接种史且无疫苗接种禁忌的人群，提供HPV疫苗优惠接种政策。适龄受种者根据自身年龄范围，知情同意、自愿自费参加。</w:t>
      </w:r>
    </w:p>
    <w:p w14:paraId="7D6BB9B5">
      <w:pPr>
        <w:keepNext w:val="0"/>
        <w:keepLines w:val="0"/>
        <w:pageBreakBefore w:val="0"/>
        <w:widowControl w:val="0"/>
        <w:kinsoku/>
        <w:wordWrap/>
        <w:overflowPunct/>
        <w:topLinePunct w:val="0"/>
        <w:autoSpaceDE/>
        <w:autoSpaceDN/>
        <w:bidi w:val="0"/>
        <w:adjustRightInd/>
        <w:snapToGrid/>
        <w:spacing w:after="0" w:line="440" w:lineRule="exact"/>
        <w:ind w:firstLine="540" w:firstLineChars="200"/>
        <w:textAlignment w:val="auto"/>
        <w:rPr>
          <w:rFonts w:hint="eastAsia" w:ascii="仿宋" w:hAnsi="仿宋" w:eastAsia="仿宋" w:cs="仿宋"/>
          <w:color w:val="auto"/>
          <w:spacing w:val="-5"/>
          <w:sz w:val="28"/>
          <w:szCs w:val="28"/>
          <w:lang w:val="en-US" w:eastAsia="zh-CN" w:bidi="ar-SA"/>
        </w:rPr>
      </w:pPr>
      <w:r>
        <w:rPr>
          <w:rFonts w:hint="eastAsia" w:ascii="仿宋" w:hAnsi="仿宋" w:eastAsia="仿宋" w:cs="仿宋"/>
          <w:color w:val="auto"/>
          <w:spacing w:val="-5"/>
          <w:sz w:val="28"/>
          <w:szCs w:val="28"/>
          <w:lang w:val="en-US" w:eastAsia="zh-CN" w:bidi="ar-SA"/>
        </w:rPr>
        <w:t>女性健康成长是学校、家庭和社会共同的责任，让我们携起手来共同做好疫苗接种工作，为女性健康保驾护航！</w:t>
      </w:r>
    </w:p>
    <w:p w14:paraId="49AEFEC2">
      <w:pPr>
        <w:keepNext w:val="0"/>
        <w:keepLines w:val="0"/>
        <w:pageBreakBefore w:val="0"/>
        <w:kinsoku/>
        <w:wordWrap/>
        <w:overflowPunct/>
        <w:topLinePunct w:val="0"/>
        <w:autoSpaceDE/>
        <w:autoSpaceDN/>
        <w:bidi w:val="0"/>
        <w:adjustRightInd/>
        <w:snapToGrid/>
        <w:spacing w:after="0" w:line="600" w:lineRule="exact"/>
        <w:jc w:val="center"/>
        <w:textAlignment w:val="auto"/>
        <w:rPr>
          <w:rFonts w:hint="eastAsia" w:ascii="方正小标宋_GBK" w:hAnsi="方正小标宋_GBK" w:eastAsia="方正小标宋_GBK" w:cs="方正小标宋_GBK"/>
          <w:color w:val="auto"/>
          <w:spacing w:val="15"/>
          <w:sz w:val="40"/>
          <w:szCs w:val="40"/>
          <w:lang w:eastAsia="zh-CN"/>
        </w:rPr>
      </w:pPr>
    </w:p>
    <w:p w14:paraId="59702294">
      <w:pPr>
        <w:keepNext w:val="0"/>
        <w:keepLines w:val="0"/>
        <w:pageBreakBefore w:val="0"/>
        <w:kinsoku/>
        <w:wordWrap/>
        <w:overflowPunct/>
        <w:topLinePunct w:val="0"/>
        <w:autoSpaceDE/>
        <w:autoSpaceDN/>
        <w:bidi w:val="0"/>
        <w:adjustRightInd/>
        <w:snapToGrid/>
        <w:spacing w:after="0" w:line="600" w:lineRule="exact"/>
        <w:jc w:val="center"/>
        <w:textAlignment w:val="auto"/>
        <w:rPr>
          <w:rFonts w:hint="eastAsia" w:ascii="方正小标宋_GBK" w:hAnsi="方正小标宋_GBK" w:eastAsia="方正小标宋_GBK" w:cs="方正小标宋_GBK"/>
          <w:color w:val="auto"/>
          <w:spacing w:val="15"/>
          <w:sz w:val="32"/>
          <w:szCs w:val="32"/>
          <w:lang w:eastAsia="zh-CN"/>
        </w:rPr>
      </w:pPr>
      <w:r>
        <w:rPr>
          <w:rFonts w:hint="eastAsia" w:ascii="方正小标宋_GBK" w:hAnsi="方正小标宋_GBK" w:eastAsia="方正小标宋_GBK" w:cs="方正小标宋_GBK"/>
          <w:color w:val="auto"/>
          <w:spacing w:val="15"/>
          <w:sz w:val="32"/>
          <w:szCs w:val="32"/>
          <w:lang w:eastAsia="zh-CN"/>
        </w:rPr>
        <w:t>南阳市HPV疫苗接种惠民活动告知书回执（参考）</w:t>
      </w:r>
    </w:p>
    <w:p w14:paraId="3DEB7A42">
      <w:pPr>
        <w:keepNext w:val="0"/>
        <w:keepLines w:val="0"/>
        <w:pageBreakBefore w:val="0"/>
        <w:kinsoku/>
        <w:wordWrap/>
        <w:overflowPunct/>
        <w:topLinePunct w:val="0"/>
        <w:autoSpaceDE/>
        <w:autoSpaceDN/>
        <w:bidi w:val="0"/>
        <w:adjustRightInd/>
        <w:snapToGrid/>
        <w:spacing w:after="0" w:line="600" w:lineRule="exact"/>
        <w:jc w:val="center"/>
        <w:textAlignment w:val="auto"/>
        <w:rPr>
          <w:rFonts w:hint="eastAsia" w:cs="微软雅黑"/>
          <w:b/>
          <w:bCs/>
          <w:color w:val="auto"/>
          <w:spacing w:val="15"/>
          <w:sz w:val="36"/>
          <w:szCs w:val="36"/>
          <w:lang w:eastAsia="zh-CN"/>
        </w:rPr>
      </w:pPr>
    </w:p>
    <w:p w14:paraId="0DBDFE70">
      <w:pPr>
        <w:keepNext w:val="0"/>
        <w:keepLines w:val="0"/>
        <w:pageBreakBefore w:val="0"/>
        <w:widowControl w:val="0"/>
        <w:kinsoku/>
        <w:wordWrap/>
        <w:overflowPunct/>
        <w:topLinePunct w:val="0"/>
        <w:autoSpaceDE/>
        <w:autoSpaceDN/>
        <w:bidi w:val="0"/>
        <w:adjustRightInd/>
        <w:snapToGrid/>
        <w:spacing w:after="0" w:line="440" w:lineRule="exact"/>
        <w:ind w:firstLine="540" w:firstLineChars="200"/>
        <w:jc w:val="left"/>
        <w:textAlignment w:val="auto"/>
        <w:rPr>
          <w:rFonts w:hint="eastAsia" w:ascii="仿宋" w:hAnsi="仿宋" w:eastAsia="仿宋" w:cs="仿宋"/>
          <w:color w:val="auto"/>
          <w:spacing w:val="-5"/>
          <w:sz w:val="28"/>
          <w:szCs w:val="28"/>
          <w:lang w:eastAsia="zh-CN"/>
        </w:rPr>
      </w:pPr>
      <w:r>
        <w:rPr>
          <w:rFonts w:hint="eastAsia" w:ascii="仿宋" w:hAnsi="仿宋" w:eastAsia="仿宋" w:cs="仿宋"/>
          <w:color w:val="auto"/>
          <w:spacing w:val="-5"/>
          <w:sz w:val="28"/>
          <w:szCs w:val="28"/>
          <w:lang w:eastAsia="zh-CN"/>
        </w:rPr>
        <w:t xml:space="preserve">姓名：          </w:t>
      </w:r>
      <w:r>
        <w:rPr>
          <w:rFonts w:hint="eastAsia" w:ascii="仿宋" w:hAnsi="仿宋" w:eastAsia="仿宋" w:cs="仿宋"/>
          <w:color w:val="auto"/>
          <w:spacing w:val="-5"/>
          <w:sz w:val="28"/>
          <w:szCs w:val="28"/>
          <w:lang w:val="en-US" w:eastAsia="zh-CN"/>
        </w:rPr>
        <w:t xml:space="preserve">  </w:t>
      </w:r>
      <w:r>
        <w:rPr>
          <w:rFonts w:hint="eastAsia" w:ascii="仿宋" w:hAnsi="仿宋" w:eastAsia="仿宋" w:cs="仿宋"/>
          <w:color w:val="auto"/>
          <w:spacing w:val="-5"/>
          <w:sz w:val="28"/>
          <w:szCs w:val="28"/>
          <w:lang w:eastAsia="zh-CN"/>
        </w:rPr>
        <w:t xml:space="preserve"> 出生日期：     年   月   日</w:t>
      </w:r>
    </w:p>
    <w:p w14:paraId="1FFC4832">
      <w:pPr>
        <w:keepNext w:val="0"/>
        <w:keepLines w:val="0"/>
        <w:pageBreakBefore w:val="0"/>
        <w:widowControl w:val="0"/>
        <w:kinsoku/>
        <w:wordWrap/>
        <w:overflowPunct/>
        <w:topLinePunct w:val="0"/>
        <w:autoSpaceDE/>
        <w:autoSpaceDN/>
        <w:bidi w:val="0"/>
        <w:adjustRightInd/>
        <w:snapToGrid/>
        <w:spacing w:after="0" w:line="440" w:lineRule="exact"/>
        <w:ind w:firstLine="540" w:firstLineChars="200"/>
        <w:jc w:val="left"/>
        <w:textAlignment w:val="auto"/>
        <w:rPr>
          <w:rFonts w:hint="eastAsia" w:ascii="仿宋" w:hAnsi="仿宋" w:eastAsia="仿宋" w:cs="仿宋"/>
          <w:color w:val="auto"/>
          <w:sz w:val="28"/>
          <w:szCs w:val="28"/>
          <w:lang w:val="en-US" w:eastAsia="zh-CN" w:bidi="ar"/>
        </w:rPr>
      </w:pPr>
      <w:r>
        <w:rPr>
          <w:rFonts w:hint="eastAsia" w:ascii="仿宋" w:hAnsi="仿宋" w:eastAsia="仿宋" w:cs="仿宋"/>
          <w:color w:val="auto"/>
          <w:spacing w:val="-5"/>
          <w:sz w:val="28"/>
          <w:szCs w:val="28"/>
          <w:lang w:eastAsia="zh-CN"/>
        </w:rPr>
        <w:t xml:space="preserve">电话：           </w:t>
      </w:r>
      <w:r>
        <w:rPr>
          <w:rFonts w:hint="eastAsia" w:ascii="仿宋" w:hAnsi="仿宋" w:eastAsia="仿宋" w:cs="仿宋"/>
          <w:color w:val="auto"/>
          <w:spacing w:val="-5"/>
          <w:sz w:val="28"/>
          <w:szCs w:val="28"/>
          <w:lang w:val="en-US" w:eastAsia="zh-CN"/>
        </w:rPr>
        <w:t xml:space="preserve">  </w:t>
      </w:r>
      <w:r>
        <w:rPr>
          <w:rFonts w:hint="eastAsia" w:ascii="仿宋" w:hAnsi="仿宋" w:eastAsia="仿宋" w:cs="仿宋"/>
          <w:color w:val="auto"/>
          <w:sz w:val="28"/>
          <w:szCs w:val="28"/>
          <w:lang w:eastAsia="zh-CN" w:bidi="ar"/>
        </w:rPr>
        <w:t>有</w:t>
      </w:r>
      <w:r>
        <w:rPr>
          <w:rFonts w:hint="eastAsia" w:ascii="仿宋" w:hAnsi="仿宋" w:eastAsia="仿宋" w:cs="仿宋"/>
          <w:color w:val="auto"/>
          <w:sz w:val="28"/>
          <w:szCs w:val="28"/>
          <w:lang w:val="en-US" w:eastAsia="zh-CN" w:bidi="ar"/>
        </w:rPr>
        <w:t>无</w:t>
      </w:r>
      <w:r>
        <w:rPr>
          <w:rFonts w:hint="eastAsia" w:ascii="仿宋" w:hAnsi="仿宋" w:eastAsia="仿宋" w:cs="仿宋"/>
          <w:color w:val="auto"/>
          <w:sz w:val="28"/>
          <w:szCs w:val="28"/>
          <w:lang w:eastAsia="zh-CN" w:bidi="ar"/>
        </w:rPr>
        <w:t>HPV疫苗接种史：□有</w:t>
      </w:r>
      <w:r>
        <w:rPr>
          <w:rFonts w:hint="eastAsia" w:ascii="仿宋" w:hAnsi="仿宋" w:eastAsia="仿宋" w:cs="仿宋"/>
          <w:color w:val="auto"/>
          <w:sz w:val="28"/>
          <w:szCs w:val="28"/>
          <w:lang w:val="en-US" w:eastAsia="zh-CN" w:bidi="ar"/>
        </w:rPr>
        <w:t xml:space="preserve">  </w:t>
      </w:r>
      <w:r>
        <w:rPr>
          <w:rFonts w:hint="eastAsia" w:ascii="仿宋" w:hAnsi="仿宋" w:eastAsia="仿宋" w:cs="仿宋"/>
          <w:color w:val="auto"/>
          <w:sz w:val="28"/>
          <w:szCs w:val="28"/>
          <w:lang w:eastAsia="zh-CN" w:bidi="ar"/>
        </w:rPr>
        <w:t>□无</w:t>
      </w:r>
    </w:p>
    <w:p w14:paraId="4CD6B49A">
      <w:pPr>
        <w:keepNext w:val="0"/>
        <w:keepLines w:val="0"/>
        <w:pageBreakBefore w:val="0"/>
        <w:widowControl w:val="0"/>
        <w:kinsoku/>
        <w:wordWrap/>
        <w:overflowPunct/>
        <w:topLinePunct w:val="0"/>
        <w:autoSpaceDE/>
        <w:autoSpaceDN/>
        <w:bidi w:val="0"/>
        <w:adjustRightInd/>
        <w:snapToGrid/>
        <w:spacing w:after="0" w:line="440" w:lineRule="exact"/>
        <w:ind w:firstLine="540" w:firstLineChars="200"/>
        <w:jc w:val="left"/>
        <w:textAlignment w:val="auto"/>
        <w:rPr>
          <w:rFonts w:hint="eastAsia" w:ascii="仿宋" w:hAnsi="仿宋" w:eastAsia="仿宋" w:cs="仿宋"/>
          <w:color w:val="auto"/>
          <w:spacing w:val="-5"/>
          <w:sz w:val="28"/>
          <w:szCs w:val="28"/>
          <w:lang w:eastAsia="zh-CN"/>
        </w:rPr>
      </w:pPr>
      <w:r>
        <w:rPr>
          <w:rFonts w:hint="eastAsia" w:ascii="仿宋" w:hAnsi="仿宋" w:eastAsia="仿宋" w:cs="仿宋"/>
          <w:color w:val="auto"/>
          <w:spacing w:val="-5"/>
          <w:sz w:val="28"/>
          <w:szCs w:val="28"/>
          <w:lang w:eastAsia="zh-CN"/>
        </w:rPr>
        <w:t>有无</w:t>
      </w:r>
      <w:r>
        <w:rPr>
          <w:rFonts w:hint="eastAsia" w:ascii="仿宋" w:hAnsi="仿宋" w:eastAsia="仿宋" w:cs="仿宋"/>
          <w:color w:val="auto"/>
          <w:spacing w:val="-5"/>
          <w:sz w:val="28"/>
          <w:szCs w:val="28"/>
          <w:lang w:val="en-US" w:eastAsia="zh-CN"/>
        </w:rPr>
        <w:t>接种</w:t>
      </w:r>
      <w:r>
        <w:rPr>
          <w:rFonts w:hint="eastAsia" w:ascii="仿宋" w:hAnsi="仿宋" w:eastAsia="仿宋" w:cs="仿宋"/>
          <w:color w:val="auto"/>
          <w:spacing w:val="-5"/>
          <w:sz w:val="28"/>
          <w:szCs w:val="28"/>
          <w:lang w:eastAsia="zh-CN"/>
        </w:rPr>
        <w:t>禁忌症：□有</w:t>
      </w:r>
      <w:r>
        <w:rPr>
          <w:rFonts w:hint="eastAsia" w:ascii="仿宋" w:hAnsi="仿宋" w:eastAsia="仿宋" w:cs="仿宋"/>
          <w:color w:val="auto"/>
          <w:spacing w:val="-5"/>
          <w:sz w:val="28"/>
          <w:szCs w:val="28"/>
          <w:lang w:val="en-US" w:eastAsia="zh-CN"/>
        </w:rPr>
        <w:t xml:space="preserve">  </w:t>
      </w:r>
      <w:r>
        <w:rPr>
          <w:rFonts w:hint="eastAsia" w:ascii="仿宋" w:hAnsi="仿宋" w:eastAsia="仿宋" w:cs="仿宋"/>
          <w:color w:val="auto"/>
          <w:spacing w:val="-5"/>
          <w:sz w:val="28"/>
          <w:szCs w:val="28"/>
          <w:lang w:eastAsia="zh-CN"/>
        </w:rPr>
        <w:t>□无</w:t>
      </w:r>
    </w:p>
    <w:p w14:paraId="63DB4E56">
      <w:pPr>
        <w:keepNext w:val="0"/>
        <w:keepLines w:val="0"/>
        <w:pageBreakBefore w:val="0"/>
        <w:widowControl w:val="0"/>
        <w:kinsoku/>
        <w:wordWrap/>
        <w:overflowPunct/>
        <w:topLinePunct w:val="0"/>
        <w:autoSpaceDE/>
        <w:autoSpaceDN/>
        <w:bidi w:val="0"/>
        <w:adjustRightInd/>
        <w:snapToGrid/>
        <w:spacing w:after="0" w:line="440" w:lineRule="exact"/>
        <w:ind w:firstLine="540" w:firstLineChars="200"/>
        <w:jc w:val="left"/>
        <w:textAlignment w:val="auto"/>
        <w:rPr>
          <w:rFonts w:hint="eastAsia" w:ascii="仿宋" w:hAnsi="仿宋" w:eastAsia="仿宋" w:cs="仿宋"/>
          <w:color w:val="auto"/>
          <w:spacing w:val="-5"/>
          <w:sz w:val="28"/>
          <w:szCs w:val="28"/>
          <w:lang w:eastAsia="zh-CN"/>
        </w:rPr>
      </w:pPr>
      <w:r>
        <w:rPr>
          <w:rFonts w:hint="eastAsia" w:ascii="仿宋" w:hAnsi="仿宋" w:eastAsia="仿宋" w:cs="仿宋"/>
          <w:color w:val="auto"/>
          <w:spacing w:val="-5"/>
          <w:sz w:val="28"/>
          <w:szCs w:val="28"/>
          <w:lang w:eastAsia="zh-CN"/>
        </w:rPr>
        <w:t>【接种禁忌】已知对疫苗任何成分超敏者及以往接种该产品后出现超敏症状者、妊娠期女性不能接种本品。急性严重发热性疾病患者应推迟接种。</w:t>
      </w:r>
    </w:p>
    <w:p w14:paraId="6F5923A3">
      <w:pPr>
        <w:keepNext w:val="0"/>
        <w:keepLines w:val="0"/>
        <w:pageBreakBefore w:val="0"/>
        <w:widowControl w:val="0"/>
        <w:kinsoku/>
        <w:wordWrap/>
        <w:overflowPunct/>
        <w:topLinePunct w:val="0"/>
        <w:autoSpaceDE/>
        <w:autoSpaceDN/>
        <w:bidi w:val="0"/>
        <w:adjustRightInd/>
        <w:snapToGrid/>
        <w:spacing w:after="0" w:line="440" w:lineRule="exact"/>
        <w:ind w:firstLine="540" w:firstLineChars="200"/>
        <w:jc w:val="left"/>
        <w:textAlignment w:val="auto"/>
        <w:rPr>
          <w:rFonts w:hint="eastAsia" w:ascii="仿宋" w:hAnsi="仿宋" w:eastAsia="仿宋" w:cs="仿宋"/>
          <w:color w:val="auto"/>
          <w:spacing w:val="-5"/>
          <w:sz w:val="28"/>
          <w:szCs w:val="28"/>
          <w:lang w:eastAsia="zh-CN"/>
        </w:rPr>
      </w:pPr>
      <w:r>
        <w:rPr>
          <w:rFonts w:hint="eastAsia" w:ascii="仿宋" w:hAnsi="仿宋" w:eastAsia="仿宋" w:cs="仿宋"/>
          <w:color w:val="auto"/>
          <w:spacing w:val="-5"/>
          <w:sz w:val="28"/>
          <w:szCs w:val="28"/>
          <w:lang w:eastAsia="zh-CN"/>
        </w:rPr>
        <w:t>阅读上述说明后如自愿参与本项目，请签名确认。</w:t>
      </w:r>
    </w:p>
    <w:p w14:paraId="5E4F7346">
      <w:pPr>
        <w:keepNext w:val="0"/>
        <w:keepLines w:val="0"/>
        <w:pageBreakBefore w:val="0"/>
        <w:widowControl w:val="0"/>
        <w:kinsoku/>
        <w:wordWrap/>
        <w:overflowPunct/>
        <w:topLinePunct w:val="0"/>
        <w:autoSpaceDE/>
        <w:autoSpaceDN/>
        <w:bidi w:val="0"/>
        <w:adjustRightInd/>
        <w:snapToGrid/>
        <w:spacing w:after="0" w:line="440" w:lineRule="exact"/>
        <w:ind w:firstLine="540" w:firstLineChars="200"/>
        <w:jc w:val="left"/>
        <w:textAlignment w:val="auto"/>
        <w:rPr>
          <w:rFonts w:hint="eastAsia" w:ascii="仿宋" w:hAnsi="仿宋" w:eastAsia="仿宋" w:cs="仿宋"/>
          <w:color w:val="auto"/>
          <w:spacing w:val="-5"/>
          <w:sz w:val="28"/>
          <w:szCs w:val="28"/>
          <w:lang w:eastAsia="zh-CN"/>
        </w:rPr>
      </w:pPr>
      <w:r>
        <w:rPr>
          <w:rFonts w:hint="eastAsia" w:ascii="仿宋" w:hAnsi="仿宋" w:eastAsia="仿宋" w:cs="仿宋"/>
          <w:color w:val="auto"/>
          <w:spacing w:val="-5"/>
          <w:sz w:val="28"/>
          <w:szCs w:val="28"/>
          <w:lang w:eastAsia="zh-CN"/>
        </w:rPr>
        <w:t>同意接种本人签名：                   年   月   日</w:t>
      </w:r>
    </w:p>
    <w:p w14:paraId="29061FB2">
      <w:pPr>
        <w:spacing w:after="0" w:line="231" w:lineRule="auto"/>
        <w:rPr>
          <w:rFonts w:hint="eastAsia" w:ascii="黑体" w:hAnsi="黑体" w:eastAsia="黑体" w:cs="黑体"/>
          <w:color w:val="auto"/>
          <w:spacing w:val="10"/>
          <w:sz w:val="31"/>
          <w:szCs w:val="31"/>
          <w:lang w:eastAsia="zh-CN"/>
        </w:rPr>
      </w:pPr>
      <w:r>
        <w:rPr>
          <w:rFonts w:ascii="黑体" w:hAnsi="黑体" w:eastAsia="黑体" w:cs="黑体"/>
          <w:color w:val="auto"/>
          <w:spacing w:val="10"/>
          <w:sz w:val="31"/>
          <w:szCs w:val="31"/>
          <w:lang w:eastAsia="zh-CN"/>
        </w:rPr>
        <w:t>附件</w:t>
      </w:r>
      <w:r>
        <w:rPr>
          <w:rFonts w:hint="eastAsia" w:ascii="黑体" w:hAnsi="黑体" w:eastAsia="黑体" w:cs="黑体"/>
          <w:color w:val="auto"/>
          <w:spacing w:val="10"/>
          <w:sz w:val="31"/>
          <w:szCs w:val="31"/>
          <w:lang w:val="en-US" w:eastAsia="zh-CN"/>
        </w:rPr>
        <w:t>2</w:t>
      </w:r>
    </w:p>
    <w:p w14:paraId="6AFAAC47">
      <w:pPr>
        <w:spacing w:after="0" w:line="231" w:lineRule="auto"/>
        <w:rPr>
          <w:rFonts w:hint="eastAsia" w:ascii="黑体" w:hAnsi="黑体" w:eastAsia="黑体" w:cs="黑体"/>
          <w:color w:val="auto"/>
          <w:spacing w:val="10"/>
          <w:sz w:val="31"/>
          <w:szCs w:val="31"/>
          <w:lang w:eastAsia="zh-CN"/>
        </w:rPr>
      </w:pPr>
    </w:p>
    <w:p w14:paraId="2DB01DF9">
      <w:pPr>
        <w:widowControl w:val="0"/>
        <w:jc w:val="center"/>
        <w:rPr>
          <w:rFonts w:hint="eastAsia" w:ascii="方正小标宋_GBK" w:hAnsi="方正小标宋_GBK" w:eastAsia="方正小标宋_GBK" w:cs="方正小标宋_GBK"/>
          <w:color w:val="auto"/>
          <w:sz w:val="36"/>
          <w:szCs w:val="36"/>
          <w:lang w:eastAsia="zh-CN"/>
        </w:rPr>
      </w:pPr>
      <w:r>
        <w:rPr>
          <w:rFonts w:hint="eastAsia" w:ascii="方正小标宋_GBK" w:hAnsi="方正小标宋_GBK" w:eastAsia="方正小标宋_GBK" w:cs="方正小标宋_GBK"/>
          <w:color w:val="auto"/>
          <w:sz w:val="36"/>
          <w:szCs w:val="36"/>
          <w:lang w:eastAsia="zh-CN"/>
        </w:rPr>
        <w:t>适龄人群HPV疫苗接种意愿摸底统计表（参考）</w:t>
      </w:r>
    </w:p>
    <w:p w14:paraId="587AAECD">
      <w:pPr>
        <w:pStyle w:val="3"/>
        <w:spacing w:before="241" w:line="216" w:lineRule="auto"/>
        <w:ind w:firstLine="0" w:firstLineChars="0"/>
        <w:rPr>
          <w:rFonts w:hint="eastAsia" w:ascii="仿宋" w:hAnsi="仿宋" w:eastAsia="仿宋" w:cs="仿宋"/>
          <w:color w:val="auto"/>
          <w:spacing w:val="5"/>
          <w:sz w:val="28"/>
          <w:szCs w:val="28"/>
        </w:rPr>
      </w:pPr>
      <w:r>
        <w:rPr>
          <w:rFonts w:hint="eastAsia" w:ascii="仿宋" w:hAnsi="仿宋" w:eastAsia="仿宋" w:cs="仿宋"/>
          <w:color w:val="auto"/>
          <w:spacing w:val="5"/>
          <w:sz w:val="28"/>
          <w:szCs w:val="28"/>
        </w:rPr>
        <w:t>填表单位：</w:t>
      </w:r>
      <w:r>
        <w:rPr>
          <w:rFonts w:hint="eastAsia" w:ascii="仿宋" w:hAnsi="仿宋" w:eastAsia="仿宋" w:cs="仿宋"/>
          <w:color w:val="auto"/>
          <w:spacing w:val="5"/>
          <w:sz w:val="28"/>
          <w:szCs w:val="28"/>
          <w:lang w:eastAsia="zh-CN"/>
        </w:rPr>
        <w:t xml:space="preserve">         </w:t>
      </w:r>
    </w:p>
    <w:tbl>
      <w:tblPr>
        <w:tblStyle w:val="22"/>
        <w:tblW w:w="8865" w:type="dxa"/>
        <w:tblInd w:w="93" w:type="dxa"/>
        <w:tblLayout w:type="fixed"/>
        <w:tblCellMar>
          <w:top w:w="0" w:type="dxa"/>
          <w:left w:w="108" w:type="dxa"/>
          <w:bottom w:w="0" w:type="dxa"/>
          <w:right w:w="108" w:type="dxa"/>
        </w:tblCellMar>
      </w:tblPr>
      <w:tblGrid>
        <w:gridCol w:w="802"/>
        <w:gridCol w:w="1805"/>
        <w:gridCol w:w="1278"/>
        <w:gridCol w:w="1785"/>
        <w:gridCol w:w="1995"/>
        <w:gridCol w:w="1200"/>
      </w:tblGrid>
      <w:tr w14:paraId="6267919A">
        <w:tblPrEx>
          <w:tblCellMar>
            <w:top w:w="0" w:type="dxa"/>
            <w:left w:w="108" w:type="dxa"/>
            <w:bottom w:w="0" w:type="dxa"/>
            <w:right w:w="108" w:type="dxa"/>
          </w:tblCellMar>
        </w:tblPrEx>
        <w:trPr>
          <w:trHeight w:val="758"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0C40A">
            <w:pPr>
              <w:spacing w:after="0"/>
              <w:jc w:val="center"/>
              <w:textAlignment w:val="center"/>
              <w:rPr>
                <w:rFonts w:hint="eastAsia" w:ascii="仿宋" w:hAnsi="仿宋" w:eastAsia="仿宋" w:cs="仿宋"/>
                <w:b/>
                <w:bCs/>
                <w:color w:val="auto"/>
              </w:rPr>
            </w:pPr>
            <w:r>
              <w:rPr>
                <w:rFonts w:hint="eastAsia" w:ascii="仿宋" w:hAnsi="仿宋" w:eastAsia="仿宋" w:cs="仿宋"/>
                <w:b/>
                <w:bCs/>
                <w:color w:val="auto"/>
                <w:lang w:eastAsia="zh-CN" w:bidi="ar"/>
              </w:rPr>
              <w:t>序号</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D9E1B">
            <w:pPr>
              <w:spacing w:after="0"/>
              <w:jc w:val="center"/>
              <w:textAlignment w:val="center"/>
              <w:rPr>
                <w:rFonts w:hint="eastAsia" w:ascii="仿宋" w:hAnsi="仿宋" w:eastAsia="仿宋" w:cs="仿宋"/>
                <w:b/>
                <w:bCs/>
                <w:color w:val="auto"/>
              </w:rPr>
            </w:pPr>
            <w:r>
              <w:rPr>
                <w:rFonts w:hint="eastAsia" w:ascii="仿宋" w:hAnsi="仿宋" w:eastAsia="仿宋" w:cs="仿宋"/>
                <w:b/>
                <w:bCs/>
                <w:color w:val="auto"/>
                <w:lang w:eastAsia="zh-CN" w:bidi="ar"/>
              </w:rPr>
              <w:t>姓名</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74FFD">
            <w:pPr>
              <w:spacing w:after="0"/>
              <w:jc w:val="center"/>
              <w:textAlignment w:val="center"/>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性别</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F1452">
            <w:pPr>
              <w:spacing w:after="0"/>
              <w:jc w:val="center"/>
              <w:textAlignment w:val="center"/>
              <w:rPr>
                <w:rFonts w:hint="eastAsia" w:ascii="仿宋" w:hAnsi="仿宋" w:eastAsia="仿宋" w:cs="仿宋"/>
                <w:b/>
                <w:bCs/>
                <w:color w:val="auto"/>
                <w:lang w:eastAsia="zh-CN" w:bidi="ar"/>
              </w:rPr>
            </w:pPr>
            <w:r>
              <w:rPr>
                <w:rFonts w:hint="eastAsia" w:ascii="仿宋" w:hAnsi="仿宋" w:eastAsia="仿宋" w:cs="仿宋"/>
                <w:b/>
                <w:bCs/>
                <w:color w:val="auto"/>
                <w:lang w:eastAsia="zh-CN" w:bidi="ar"/>
              </w:rPr>
              <w:t>出生日期</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4A979">
            <w:pPr>
              <w:spacing w:after="0"/>
              <w:jc w:val="center"/>
              <w:textAlignment w:val="center"/>
              <w:rPr>
                <w:rFonts w:hint="eastAsia" w:ascii="仿宋" w:hAnsi="仿宋" w:eastAsia="仿宋" w:cs="仿宋"/>
                <w:b/>
                <w:bCs/>
                <w:color w:val="auto"/>
              </w:rPr>
            </w:pPr>
            <w:r>
              <w:rPr>
                <w:rFonts w:hint="eastAsia" w:ascii="仿宋" w:hAnsi="仿宋" w:eastAsia="仿宋" w:cs="仿宋"/>
                <w:b/>
                <w:bCs/>
                <w:color w:val="auto"/>
                <w:lang w:eastAsia="zh-CN" w:bidi="ar"/>
              </w:rPr>
              <w:t>联系电话</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67DDF">
            <w:pPr>
              <w:spacing w:after="0"/>
              <w:jc w:val="center"/>
              <w:textAlignment w:val="center"/>
              <w:rPr>
                <w:rFonts w:hint="eastAsia" w:ascii="仿宋" w:hAnsi="仿宋" w:eastAsia="仿宋" w:cs="仿宋"/>
                <w:b/>
                <w:bCs/>
                <w:color w:val="auto"/>
              </w:rPr>
            </w:pPr>
            <w:r>
              <w:rPr>
                <w:rFonts w:hint="eastAsia" w:ascii="仿宋" w:hAnsi="仿宋" w:eastAsia="仿宋" w:cs="仿宋"/>
                <w:b/>
                <w:bCs/>
                <w:color w:val="auto"/>
                <w:lang w:val="en-US" w:eastAsia="zh-CN" w:bidi="ar"/>
              </w:rPr>
              <w:t>备注</w:t>
            </w:r>
          </w:p>
        </w:tc>
      </w:tr>
      <w:tr w14:paraId="40CC4E75">
        <w:tblPrEx>
          <w:tblCellMar>
            <w:top w:w="0" w:type="dxa"/>
            <w:left w:w="108" w:type="dxa"/>
            <w:bottom w:w="0" w:type="dxa"/>
            <w:right w:w="108" w:type="dxa"/>
          </w:tblCellMar>
        </w:tblPrEx>
        <w:trPr>
          <w:trHeight w:val="557"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9A6A0">
            <w:pPr>
              <w:jc w:val="center"/>
              <w:rPr>
                <w:rFonts w:ascii="Arial" w:hAnsi="Arial" w:eastAsia="宋体" w:cs="Arial"/>
                <w:color w:val="auto"/>
                <w:sz w:val="21"/>
                <w:szCs w:val="21"/>
              </w:rPr>
            </w:pP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A2543">
            <w:pPr>
              <w:jc w:val="center"/>
              <w:rPr>
                <w:rFonts w:ascii="Arial" w:hAnsi="Arial" w:eastAsia="宋体" w:cs="Arial"/>
                <w:color w:val="auto"/>
                <w:sz w:val="21"/>
                <w:szCs w:val="21"/>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44CB6">
            <w:pPr>
              <w:jc w:val="center"/>
              <w:rPr>
                <w:rFonts w:ascii="Arial" w:hAnsi="Arial" w:eastAsia="宋体" w:cs="Arial"/>
                <w:color w:val="auto"/>
                <w:sz w:val="21"/>
                <w:szCs w:val="21"/>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C716A">
            <w:pPr>
              <w:jc w:val="center"/>
              <w:rPr>
                <w:rFonts w:ascii="Arial" w:hAnsi="Arial" w:eastAsia="宋体" w:cs="Arial"/>
                <w:color w:val="auto"/>
                <w:sz w:val="21"/>
                <w:szCs w:val="21"/>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DB8DC">
            <w:pPr>
              <w:jc w:val="center"/>
              <w:rPr>
                <w:rFonts w:ascii="Arial" w:hAnsi="Arial" w:eastAsia="宋体" w:cs="Arial"/>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BA66B">
            <w:pPr>
              <w:jc w:val="center"/>
              <w:rPr>
                <w:rFonts w:ascii="Arial" w:hAnsi="Arial" w:eastAsia="宋体" w:cs="Arial"/>
                <w:color w:val="auto"/>
                <w:sz w:val="21"/>
                <w:szCs w:val="21"/>
              </w:rPr>
            </w:pPr>
          </w:p>
        </w:tc>
      </w:tr>
      <w:tr w14:paraId="23B20790">
        <w:tblPrEx>
          <w:tblCellMar>
            <w:top w:w="0" w:type="dxa"/>
            <w:left w:w="108" w:type="dxa"/>
            <w:bottom w:w="0" w:type="dxa"/>
            <w:right w:w="108" w:type="dxa"/>
          </w:tblCellMar>
        </w:tblPrEx>
        <w:trPr>
          <w:trHeight w:val="557"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AB472">
            <w:pPr>
              <w:jc w:val="center"/>
              <w:rPr>
                <w:rFonts w:ascii="Arial" w:hAnsi="Arial" w:eastAsia="宋体" w:cs="Arial"/>
                <w:color w:val="auto"/>
                <w:sz w:val="21"/>
                <w:szCs w:val="21"/>
              </w:rPr>
            </w:pP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9605D">
            <w:pPr>
              <w:jc w:val="center"/>
              <w:rPr>
                <w:rFonts w:ascii="Arial" w:hAnsi="Arial" w:eastAsia="宋体" w:cs="Arial"/>
                <w:color w:val="auto"/>
                <w:sz w:val="21"/>
                <w:szCs w:val="21"/>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2BFCD">
            <w:pPr>
              <w:jc w:val="center"/>
              <w:rPr>
                <w:rFonts w:ascii="Arial" w:hAnsi="Arial" w:eastAsia="宋体" w:cs="Arial"/>
                <w:color w:val="auto"/>
                <w:sz w:val="21"/>
                <w:szCs w:val="21"/>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F1A77">
            <w:pPr>
              <w:jc w:val="center"/>
              <w:rPr>
                <w:rFonts w:ascii="Arial" w:hAnsi="Arial" w:eastAsia="宋体" w:cs="Arial"/>
                <w:color w:val="auto"/>
                <w:sz w:val="21"/>
                <w:szCs w:val="21"/>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37681">
            <w:pPr>
              <w:jc w:val="center"/>
              <w:rPr>
                <w:rFonts w:ascii="Arial" w:hAnsi="Arial" w:eastAsia="宋体" w:cs="Arial"/>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14B49">
            <w:pPr>
              <w:jc w:val="center"/>
              <w:rPr>
                <w:rFonts w:ascii="Arial" w:hAnsi="Arial" w:eastAsia="宋体" w:cs="Arial"/>
                <w:color w:val="auto"/>
                <w:sz w:val="21"/>
                <w:szCs w:val="21"/>
              </w:rPr>
            </w:pPr>
          </w:p>
        </w:tc>
      </w:tr>
      <w:tr w14:paraId="75F6FEB9">
        <w:tblPrEx>
          <w:tblCellMar>
            <w:top w:w="0" w:type="dxa"/>
            <w:left w:w="108" w:type="dxa"/>
            <w:bottom w:w="0" w:type="dxa"/>
            <w:right w:w="108" w:type="dxa"/>
          </w:tblCellMar>
        </w:tblPrEx>
        <w:trPr>
          <w:trHeight w:val="557"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8E332">
            <w:pPr>
              <w:jc w:val="center"/>
              <w:rPr>
                <w:rFonts w:ascii="Arial" w:hAnsi="Arial" w:eastAsia="宋体" w:cs="Arial"/>
                <w:color w:val="auto"/>
                <w:sz w:val="21"/>
                <w:szCs w:val="21"/>
              </w:rPr>
            </w:pP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0E4BC">
            <w:pPr>
              <w:jc w:val="center"/>
              <w:rPr>
                <w:rFonts w:ascii="Arial" w:hAnsi="Arial" w:eastAsia="宋体" w:cs="Arial"/>
                <w:color w:val="auto"/>
                <w:sz w:val="21"/>
                <w:szCs w:val="21"/>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3C59B">
            <w:pPr>
              <w:jc w:val="center"/>
              <w:rPr>
                <w:rFonts w:ascii="Arial" w:hAnsi="Arial" w:eastAsia="宋体" w:cs="Arial"/>
                <w:color w:val="auto"/>
                <w:sz w:val="21"/>
                <w:szCs w:val="21"/>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4A100">
            <w:pPr>
              <w:jc w:val="center"/>
              <w:rPr>
                <w:rFonts w:ascii="Arial" w:hAnsi="Arial" w:eastAsia="宋体" w:cs="Arial"/>
                <w:color w:val="auto"/>
                <w:sz w:val="21"/>
                <w:szCs w:val="21"/>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4A6C6">
            <w:pPr>
              <w:jc w:val="center"/>
              <w:rPr>
                <w:rFonts w:ascii="Arial" w:hAnsi="Arial" w:eastAsia="宋体" w:cs="Arial"/>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65351">
            <w:pPr>
              <w:jc w:val="center"/>
              <w:rPr>
                <w:rFonts w:ascii="Arial" w:hAnsi="Arial" w:eastAsia="宋体" w:cs="Arial"/>
                <w:color w:val="auto"/>
                <w:sz w:val="21"/>
                <w:szCs w:val="21"/>
              </w:rPr>
            </w:pPr>
          </w:p>
        </w:tc>
      </w:tr>
      <w:tr w14:paraId="2CC59CE0">
        <w:tblPrEx>
          <w:tblCellMar>
            <w:top w:w="0" w:type="dxa"/>
            <w:left w:w="108" w:type="dxa"/>
            <w:bottom w:w="0" w:type="dxa"/>
            <w:right w:w="108" w:type="dxa"/>
          </w:tblCellMar>
        </w:tblPrEx>
        <w:trPr>
          <w:trHeight w:val="557"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6F72B">
            <w:pPr>
              <w:jc w:val="center"/>
              <w:rPr>
                <w:rFonts w:ascii="Arial" w:hAnsi="Arial" w:eastAsia="宋体" w:cs="Arial"/>
                <w:color w:val="auto"/>
                <w:sz w:val="21"/>
                <w:szCs w:val="21"/>
              </w:rPr>
            </w:pP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4FF1D">
            <w:pPr>
              <w:jc w:val="center"/>
              <w:rPr>
                <w:rFonts w:ascii="Arial" w:hAnsi="Arial" w:eastAsia="宋体" w:cs="Arial"/>
                <w:color w:val="auto"/>
                <w:sz w:val="21"/>
                <w:szCs w:val="21"/>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BFB36">
            <w:pPr>
              <w:jc w:val="center"/>
              <w:rPr>
                <w:rFonts w:ascii="Arial" w:hAnsi="Arial" w:eastAsia="宋体" w:cs="Arial"/>
                <w:color w:val="auto"/>
                <w:sz w:val="21"/>
                <w:szCs w:val="21"/>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4EEC2">
            <w:pPr>
              <w:jc w:val="center"/>
              <w:rPr>
                <w:rFonts w:ascii="Arial" w:hAnsi="Arial" w:eastAsia="宋体" w:cs="Arial"/>
                <w:color w:val="auto"/>
                <w:sz w:val="21"/>
                <w:szCs w:val="21"/>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417F2">
            <w:pPr>
              <w:jc w:val="center"/>
              <w:rPr>
                <w:rFonts w:ascii="Arial" w:hAnsi="Arial" w:eastAsia="宋体" w:cs="Arial"/>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DD808">
            <w:pPr>
              <w:jc w:val="center"/>
              <w:rPr>
                <w:rFonts w:ascii="Arial" w:hAnsi="Arial" w:eastAsia="宋体" w:cs="Arial"/>
                <w:color w:val="auto"/>
                <w:sz w:val="21"/>
                <w:szCs w:val="21"/>
              </w:rPr>
            </w:pPr>
          </w:p>
        </w:tc>
      </w:tr>
      <w:tr w14:paraId="024CE0A3">
        <w:tblPrEx>
          <w:tblCellMar>
            <w:top w:w="0" w:type="dxa"/>
            <w:left w:w="108" w:type="dxa"/>
            <w:bottom w:w="0" w:type="dxa"/>
            <w:right w:w="108" w:type="dxa"/>
          </w:tblCellMar>
        </w:tblPrEx>
        <w:trPr>
          <w:trHeight w:val="557"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FFB6B">
            <w:pPr>
              <w:jc w:val="center"/>
              <w:rPr>
                <w:rFonts w:ascii="Arial" w:hAnsi="Arial" w:eastAsia="宋体" w:cs="Arial"/>
                <w:color w:val="auto"/>
                <w:sz w:val="21"/>
                <w:szCs w:val="21"/>
              </w:rPr>
            </w:pP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CFAA2">
            <w:pPr>
              <w:jc w:val="center"/>
              <w:rPr>
                <w:rFonts w:ascii="Arial" w:hAnsi="Arial" w:eastAsia="宋体" w:cs="Arial"/>
                <w:color w:val="auto"/>
                <w:sz w:val="21"/>
                <w:szCs w:val="21"/>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7ECA0">
            <w:pPr>
              <w:jc w:val="center"/>
              <w:rPr>
                <w:rFonts w:ascii="Arial" w:hAnsi="Arial" w:eastAsia="宋体" w:cs="Arial"/>
                <w:color w:val="auto"/>
                <w:sz w:val="21"/>
                <w:szCs w:val="21"/>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5198D">
            <w:pPr>
              <w:jc w:val="center"/>
              <w:rPr>
                <w:rFonts w:ascii="Arial" w:hAnsi="Arial" w:eastAsia="宋体" w:cs="Arial"/>
                <w:color w:val="auto"/>
                <w:sz w:val="21"/>
                <w:szCs w:val="21"/>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6B461">
            <w:pPr>
              <w:jc w:val="center"/>
              <w:rPr>
                <w:rFonts w:ascii="Arial" w:hAnsi="Arial" w:eastAsia="宋体" w:cs="Arial"/>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645B4">
            <w:pPr>
              <w:jc w:val="center"/>
              <w:rPr>
                <w:rFonts w:ascii="Arial" w:hAnsi="Arial" w:eastAsia="宋体" w:cs="Arial"/>
                <w:color w:val="auto"/>
                <w:sz w:val="21"/>
                <w:szCs w:val="21"/>
              </w:rPr>
            </w:pPr>
          </w:p>
        </w:tc>
      </w:tr>
      <w:tr w14:paraId="560C68D7">
        <w:tblPrEx>
          <w:tblCellMar>
            <w:top w:w="0" w:type="dxa"/>
            <w:left w:w="108" w:type="dxa"/>
            <w:bottom w:w="0" w:type="dxa"/>
            <w:right w:w="108" w:type="dxa"/>
          </w:tblCellMar>
        </w:tblPrEx>
        <w:trPr>
          <w:trHeight w:val="557"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28350">
            <w:pPr>
              <w:jc w:val="center"/>
              <w:rPr>
                <w:rFonts w:ascii="Arial" w:hAnsi="Arial" w:eastAsia="宋体" w:cs="Arial"/>
                <w:color w:val="auto"/>
                <w:sz w:val="21"/>
                <w:szCs w:val="21"/>
              </w:rPr>
            </w:pP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47373">
            <w:pPr>
              <w:jc w:val="center"/>
              <w:rPr>
                <w:rFonts w:ascii="Arial" w:hAnsi="Arial" w:eastAsia="宋体" w:cs="Arial"/>
                <w:color w:val="auto"/>
                <w:sz w:val="21"/>
                <w:szCs w:val="21"/>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DD606">
            <w:pPr>
              <w:jc w:val="center"/>
              <w:rPr>
                <w:rFonts w:ascii="Arial" w:hAnsi="Arial" w:eastAsia="宋体" w:cs="Arial"/>
                <w:color w:val="auto"/>
                <w:sz w:val="21"/>
                <w:szCs w:val="21"/>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E0278">
            <w:pPr>
              <w:jc w:val="center"/>
              <w:rPr>
                <w:rFonts w:ascii="Arial" w:hAnsi="Arial" w:eastAsia="宋体" w:cs="Arial"/>
                <w:color w:val="auto"/>
                <w:sz w:val="21"/>
                <w:szCs w:val="21"/>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0F752">
            <w:pPr>
              <w:jc w:val="center"/>
              <w:rPr>
                <w:rFonts w:ascii="Arial" w:hAnsi="Arial" w:eastAsia="宋体" w:cs="Arial"/>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5048D">
            <w:pPr>
              <w:jc w:val="center"/>
              <w:rPr>
                <w:rFonts w:ascii="Arial" w:hAnsi="Arial" w:eastAsia="宋体" w:cs="Arial"/>
                <w:color w:val="auto"/>
                <w:sz w:val="21"/>
                <w:szCs w:val="21"/>
              </w:rPr>
            </w:pPr>
          </w:p>
        </w:tc>
      </w:tr>
      <w:tr w14:paraId="2725DDC0">
        <w:tblPrEx>
          <w:tblCellMar>
            <w:top w:w="0" w:type="dxa"/>
            <w:left w:w="108" w:type="dxa"/>
            <w:bottom w:w="0" w:type="dxa"/>
            <w:right w:w="108" w:type="dxa"/>
          </w:tblCellMar>
        </w:tblPrEx>
        <w:trPr>
          <w:trHeight w:val="557"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EF538">
            <w:pPr>
              <w:jc w:val="center"/>
              <w:rPr>
                <w:rFonts w:ascii="Arial" w:hAnsi="Arial" w:eastAsia="宋体" w:cs="Arial"/>
                <w:color w:val="auto"/>
                <w:sz w:val="21"/>
                <w:szCs w:val="21"/>
              </w:rPr>
            </w:pP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23B82">
            <w:pPr>
              <w:jc w:val="center"/>
              <w:rPr>
                <w:rFonts w:ascii="Arial" w:hAnsi="Arial" w:eastAsia="宋体" w:cs="Arial"/>
                <w:color w:val="auto"/>
                <w:sz w:val="21"/>
                <w:szCs w:val="21"/>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1E615">
            <w:pPr>
              <w:jc w:val="center"/>
              <w:rPr>
                <w:rFonts w:ascii="Arial" w:hAnsi="Arial" w:eastAsia="宋体" w:cs="Arial"/>
                <w:color w:val="auto"/>
                <w:sz w:val="21"/>
                <w:szCs w:val="21"/>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5B47E">
            <w:pPr>
              <w:jc w:val="center"/>
              <w:rPr>
                <w:rFonts w:ascii="Arial" w:hAnsi="Arial" w:eastAsia="宋体" w:cs="Arial"/>
                <w:color w:val="auto"/>
                <w:sz w:val="21"/>
                <w:szCs w:val="21"/>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BF60E">
            <w:pPr>
              <w:jc w:val="center"/>
              <w:rPr>
                <w:rFonts w:ascii="Arial" w:hAnsi="Arial" w:eastAsia="宋体" w:cs="Arial"/>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9B587">
            <w:pPr>
              <w:jc w:val="center"/>
              <w:rPr>
                <w:rFonts w:ascii="Arial" w:hAnsi="Arial" w:eastAsia="宋体" w:cs="Arial"/>
                <w:color w:val="auto"/>
                <w:sz w:val="21"/>
                <w:szCs w:val="21"/>
              </w:rPr>
            </w:pPr>
          </w:p>
        </w:tc>
      </w:tr>
      <w:tr w14:paraId="74D1FBF0">
        <w:tblPrEx>
          <w:tblCellMar>
            <w:top w:w="0" w:type="dxa"/>
            <w:left w:w="108" w:type="dxa"/>
            <w:bottom w:w="0" w:type="dxa"/>
            <w:right w:w="108" w:type="dxa"/>
          </w:tblCellMar>
        </w:tblPrEx>
        <w:trPr>
          <w:trHeight w:val="557"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8E331">
            <w:pPr>
              <w:jc w:val="center"/>
              <w:rPr>
                <w:rFonts w:ascii="Arial" w:hAnsi="Arial" w:eastAsia="宋体" w:cs="Arial"/>
                <w:color w:val="auto"/>
                <w:sz w:val="21"/>
                <w:szCs w:val="21"/>
              </w:rPr>
            </w:pP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0C3D7">
            <w:pPr>
              <w:jc w:val="center"/>
              <w:rPr>
                <w:rFonts w:ascii="Arial" w:hAnsi="Arial" w:eastAsia="宋体" w:cs="Arial"/>
                <w:color w:val="auto"/>
                <w:sz w:val="21"/>
                <w:szCs w:val="21"/>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5DE74">
            <w:pPr>
              <w:jc w:val="center"/>
              <w:rPr>
                <w:rFonts w:ascii="Arial" w:hAnsi="Arial" w:eastAsia="宋体" w:cs="Arial"/>
                <w:color w:val="auto"/>
                <w:sz w:val="21"/>
                <w:szCs w:val="21"/>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9C5C9">
            <w:pPr>
              <w:jc w:val="center"/>
              <w:rPr>
                <w:rFonts w:ascii="Arial" w:hAnsi="Arial" w:eastAsia="宋体" w:cs="Arial"/>
                <w:color w:val="auto"/>
                <w:sz w:val="21"/>
                <w:szCs w:val="21"/>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EA5D7">
            <w:pPr>
              <w:jc w:val="center"/>
              <w:rPr>
                <w:rFonts w:ascii="Arial" w:hAnsi="Arial" w:eastAsia="宋体" w:cs="Arial"/>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F3431">
            <w:pPr>
              <w:jc w:val="center"/>
              <w:rPr>
                <w:rFonts w:ascii="Arial" w:hAnsi="Arial" w:eastAsia="宋体" w:cs="Arial"/>
                <w:color w:val="auto"/>
                <w:sz w:val="21"/>
                <w:szCs w:val="21"/>
              </w:rPr>
            </w:pPr>
          </w:p>
        </w:tc>
      </w:tr>
      <w:tr w14:paraId="51F3C7A7">
        <w:tblPrEx>
          <w:tblCellMar>
            <w:top w:w="0" w:type="dxa"/>
            <w:left w:w="108" w:type="dxa"/>
            <w:bottom w:w="0" w:type="dxa"/>
            <w:right w:w="108" w:type="dxa"/>
          </w:tblCellMar>
        </w:tblPrEx>
        <w:trPr>
          <w:trHeight w:val="557"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B129C">
            <w:pPr>
              <w:jc w:val="center"/>
              <w:rPr>
                <w:rFonts w:ascii="Arial" w:hAnsi="Arial" w:eastAsia="宋体" w:cs="Arial"/>
                <w:color w:val="auto"/>
                <w:sz w:val="21"/>
                <w:szCs w:val="21"/>
              </w:rPr>
            </w:pP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5BE38">
            <w:pPr>
              <w:jc w:val="center"/>
              <w:rPr>
                <w:rFonts w:ascii="Arial" w:hAnsi="Arial" w:eastAsia="宋体" w:cs="Arial"/>
                <w:color w:val="auto"/>
                <w:sz w:val="21"/>
                <w:szCs w:val="21"/>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F3220">
            <w:pPr>
              <w:jc w:val="center"/>
              <w:rPr>
                <w:rFonts w:ascii="Arial" w:hAnsi="Arial" w:eastAsia="宋体" w:cs="Arial"/>
                <w:color w:val="auto"/>
                <w:sz w:val="21"/>
                <w:szCs w:val="21"/>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7B686">
            <w:pPr>
              <w:jc w:val="center"/>
              <w:rPr>
                <w:rFonts w:ascii="Arial" w:hAnsi="Arial" w:eastAsia="宋体" w:cs="Arial"/>
                <w:color w:val="auto"/>
                <w:sz w:val="21"/>
                <w:szCs w:val="21"/>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13483">
            <w:pPr>
              <w:jc w:val="center"/>
              <w:rPr>
                <w:rFonts w:ascii="Arial" w:hAnsi="Arial" w:eastAsia="宋体" w:cs="Arial"/>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F1921">
            <w:pPr>
              <w:jc w:val="center"/>
              <w:rPr>
                <w:rFonts w:ascii="Arial" w:hAnsi="Arial" w:eastAsia="宋体" w:cs="Arial"/>
                <w:color w:val="auto"/>
                <w:sz w:val="21"/>
                <w:szCs w:val="21"/>
              </w:rPr>
            </w:pPr>
          </w:p>
        </w:tc>
      </w:tr>
      <w:tr w14:paraId="0638090E">
        <w:tblPrEx>
          <w:tblCellMar>
            <w:top w:w="0" w:type="dxa"/>
            <w:left w:w="108" w:type="dxa"/>
            <w:bottom w:w="0" w:type="dxa"/>
            <w:right w:w="108" w:type="dxa"/>
          </w:tblCellMar>
        </w:tblPrEx>
        <w:trPr>
          <w:trHeight w:val="557"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F2225">
            <w:pPr>
              <w:jc w:val="center"/>
              <w:rPr>
                <w:rFonts w:ascii="Arial" w:hAnsi="Arial" w:eastAsia="宋体" w:cs="Arial"/>
                <w:color w:val="auto"/>
                <w:sz w:val="21"/>
                <w:szCs w:val="21"/>
              </w:rPr>
            </w:pP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D9C10">
            <w:pPr>
              <w:jc w:val="center"/>
              <w:rPr>
                <w:rFonts w:ascii="Arial" w:hAnsi="Arial" w:eastAsia="宋体" w:cs="Arial"/>
                <w:color w:val="auto"/>
                <w:sz w:val="21"/>
                <w:szCs w:val="21"/>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8FB9C">
            <w:pPr>
              <w:jc w:val="center"/>
              <w:rPr>
                <w:rFonts w:ascii="Arial" w:hAnsi="Arial" w:eastAsia="宋体" w:cs="Arial"/>
                <w:color w:val="auto"/>
                <w:sz w:val="21"/>
                <w:szCs w:val="21"/>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0CD9C">
            <w:pPr>
              <w:jc w:val="center"/>
              <w:rPr>
                <w:rFonts w:ascii="Arial" w:hAnsi="Arial" w:eastAsia="宋体" w:cs="Arial"/>
                <w:color w:val="auto"/>
                <w:sz w:val="21"/>
                <w:szCs w:val="21"/>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2D30E">
            <w:pPr>
              <w:jc w:val="center"/>
              <w:rPr>
                <w:rFonts w:ascii="Arial" w:hAnsi="Arial" w:eastAsia="宋体" w:cs="Arial"/>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EF8B4">
            <w:pPr>
              <w:jc w:val="center"/>
              <w:rPr>
                <w:rFonts w:ascii="Arial" w:hAnsi="Arial" w:eastAsia="宋体" w:cs="Arial"/>
                <w:color w:val="auto"/>
                <w:sz w:val="21"/>
                <w:szCs w:val="21"/>
              </w:rPr>
            </w:pPr>
          </w:p>
        </w:tc>
      </w:tr>
      <w:tr w14:paraId="12B8F164">
        <w:tblPrEx>
          <w:tblCellMar>
            <w:top w:w="0" w:type="dxa"/>
            <w:left w:w="108" w:type="dxa"/>
            <w:bottom w:w="0" w:type="dxa"/>
            <w:right w:w="108" w:type="dxa"/>
          </w:tblCellMar>
        </w:tblPrEx>
        <w:trPr>
          <w:trHeight w:val="557"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014B6">
            <w:pPr>
              <w:jc w:val="center"/>
              <w:rPr>
                <w:rFonts w:ascii="Arial" w:hAnsi="Arial" w:eastAsia="宋体" w:cs="Arial"/>
                <w:color w:val="auto"/>
                <w:sz w:val="21"/>
                <w:szCs w:val="21"/>
              </w:rPr>
            </w:pP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74D8E">
            <w:pPr>
              <w:jc w:val="center"/>
              <w:rPr>
                <w:rFonts w:ascii="Arial" w:hAnsi="Arial" w:eastAsia="宋体" w:cs="Arial"/>
                <w:color w:val="auto"/>
                <w:sz w:val="21"/>
                <w:szCs w:val="21"/>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70658">
            <w:pPr>
              <w:jc w:val="center"/>
              <w:rPr>
                <w:rFonts w:ascii="Arial" w:hAnsi="Arial" w:eastAsia="宋体" w:cs="Arial"/>
                <w:color w:val="auto"/>
                <w:sz w:val="21"/>
                <w:szCs w:val="21"/>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4729D">
            <w:pPr>
              <w:jc w:val="center"/>
              <w:rPr>
                <w:rFonts w:ascii="Arial" w:hAnsi="Arial" w:eastAsia="宋体" w:cs="Arial"/>
                <w:color w:val="auto"/>
                <w:sz w:val="21"/>
                <w:szCs w:val="21"/>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39A7B">
            <w:pPr>
              <w:jc w:val="center"/>
              <w:rPr>
                <w:rFonts w:ascii="Arial" w:hAnsi="Arial" w:eastAsia="宋体" w:cs="Arial"/>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6EAC3">
            <w:pPr>
              <w:jc w:val="center"/>
              <w:rPr>
                <w:rFonts w:hint="eastAsia" w:ascii="宋体" w:hAnsi="宋体" w:eastAsia="宋体" w:cs="宋体"/>
                <w:color w:val="auto"/>
                <w:sz w:val="22"/>
                <w:szCs w:val="22"/>
              </w:rPr>
            </w:pPr>
          </w:p>
        </w:tc>
      </w:tr>
      <w:tr w14:paraId="53EBE490">
        <w:tblPrEx>
          <w:tblCellMar>
            <w:top w:w="0" w:type="dxa"/>
            <w:left w:w="108" w:type="dxa"/>
            <w:bottom w:w="0" w:type="dxa"/>
            <w:right w:w="108" w:type="dxa"/>
          </w:tblCellMar>
        </w:tblPrEx>
        <w:trPr>
          <w:trHeight w:val="557"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145CB">
            <w:pPr>
              <w:jc w:val="center"/>
              <w:rPr>
                <w:rFonts w:ascii="Arial" w:hAnsi="Arial" w:eastAsia="宋体" w:cs="Arial"/>
                <w:color w:val="auto"/>
                <w:sz w:val="21"/>
                <w:szCs w:val="21"/>
              </w:rPr>
            </w:pP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F6CFE">
            <w:pPr>
              <w:jc w:val="center"/>
              <w:rPr>
                <w:rFonts w:ascii="Arial" w:hAnsi="Arial" w:eastAsia="宋体" w:cs="Arial"/>
                <w:color w:val="auto"/>
                <w:sz w:val="21"/>
                <w:szCs w:val="21"/>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5037E">
            <w:pPr>
              <w:jc w:val="center"/>
              <w:rPr>
                <w:rFonts w:ascii="Arial" w:hAnsi="Arial" w:eastAsia="宋体" w:cs="Arial"/>
                <w:color w:val="auto"/>
                <w:sz w:val="21"/>
                <w:szCs w:val="21"/>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3D691">
            <w:pPr>
              <w:jc w:val="center"/>
              <w:rPr>
                <w:rFonts w:ascii="Arial" w:hAnsi="Arial" w:eastAsia="宋体" w:cs="Arial"/>
                <w:color w:val="auto"/>
                <w:sz w:val="21"/>
                <w:szCs w:val="21"/>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27E50">
            <w:pPr>
              <w:jc w:val="center"/>
              <w:rPr>
                <w:rFonts w:ascii="Arial" w:hAnsi="Arial" w:eastAsia="宋体" w:cs="Arial"/>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2C929">
            <w:pPr>
              <w:jc w:val="center"/>
              <w:rPr>
                <w:rFonts w:ascii="Arial" w:hAnsi="Arial" w:eastAsia="宋体" w:cs="Arial"/>
                <w:color w:val="auto"/>
                <w:sz w:val="21"/>
                <w:szCs w:val="21"/>
              </w:rPr>
            </w:pPr>
          </w:p>
        </w:tc>
      </w:tr>
      <w:tr w14:paraId="5FDBE559">
        <w:tblPrEx>
          <w:tblCellMar>
            <w:top w:w="0" w:type="dxa"/>
            <w:left w:w="108" w:type="dxa"/>
            <w:bottom w:w="0" w:type="dxa"/>
            <w:right w:w="108" w:type="dxa"/>
          </w:tblCellMar>
        </w:tblPrEx>
        <w:trPr>
          <w:trHeight w:val="557"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C4AC5">
            <w:pPr>
              <w:jc w:val="center"/>
              <w:rPr>
                <w:rFonts w:ascii="Arial" w:hAnsi="Arial" w:eastAsia="宋体" w:cs="Arial"/>
                <w:color w:val="auto"/>
                <w:sz w:val="21"/>
                <w:szCs w:val="21"/>
              </w:rPr>
            </w:pP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D34F8">
            <w:pPr>
              <w:jc w:val="center"/>
              <w:rPr>
                <w:rFonts w:ascii="Arial" w:hAnsi="Arial" w:eastAsia="宋体" w:cs="Arial"/>
                <w:color w:val="auto"/>
                <w:sz w:val="21"/>
                <w:szCs w:val="21"/>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5D9EB">
            <w:pPr>
              <w:jc w:val="center"/>
              <w:rPr>
                <w:rFonts w:ascii="Arial" w:hAnsi="Arial" w:eastAsia="宋体" w:cs="Arial"/>
                <w:color w:val="auto"/>
                <w:sz w:val="21"/>
                <w:szCs w:val="21"/>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F7991">
            <w:pPr>
              <w:jc w:val="center"/>
              <w:rPr>
                <w:rFonts w:ascii="Arial" w:hAnsi="Arial" w:eastAsia="宋体" w:cs="Arial"/>
                <w:color w:val="auto"/>
                <w:sz w:val="21"/>
                <w:szCs w:val="21"/>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67B98">
            <w:pPr>
              <w:jc w:val="center"/>
              <w:rPr>
                <w:rFonts w:ascii="Arial" w:hAnsi="Arial" w:eastAsia="宋体" w:cs="Arial"/>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4C0FA">
            <w:pPr>
              <w:jc w:val="center"/>
              <w:rPr>
                <w:rFonts w:ascii="Arial" w:hAnsi="Arial" w:eastAsia="宋体" w:cs="Arial"/>
                <w:color w:val="auto"/>
                <w:sz w:val="21"/>
                <w:szCs w:val="21"/>
              </w:rPr>
            </w:pPr>
          </w:p>
        </w:tc>
      </w:tr>
      <w:tr w14:paraId="3AEDD6EE">
        <w:tblPrEx>
          <w:tblCellMar>
            <w:top w:w="0" w:type="dxa"/>
            <w:left w:w="108" w:type="dxa"/>
            <w:bottom w:w="0" w:type="dxa"/>
            <w:right w:w="108" w:type="dxa"/>
          </w:tblCellMar>
        </w:tblPrEx>
        <w:trPr>
          <w:trHeight w:val="557"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A7FD2">
            <w:pPr>
              <w:jc w:val="center"/>
              <w:rPr>
                <w:rFonts w:ascii="Arial" w:hAnsi="Arial" w:eastAsia="宋体" w:cs="Arial"/>
                <w:color w:val="auto"/>
                <w:sz w:val="21"/>
                <w:szCs w:val="21"/>
              </w:rPr>
            </w:pP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65D3A">
            <w:pPr>
              <w:jc w:val="center"/>
              <w:rPr>
                <w:rFonts w:ascii="Arial" w:hAnsi="Arial" w:eastAsia="宋体" w:cs="Arial"/>
                <w:color w:val="auto"/>
                <w:sz w:val="21"/>
                <w:szCs w:val="21"/>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34DEA">
            <w:pPr>
              <w:jc w:val="center"/>
              <w:rPr>
                <w:rFonts w:ascii="Arial" w:hAnsi="Arial" w:eastAsia="宋体" w:cs="Arial"/>
                <w:color w:val="auto"/>
                <w:sz w:val="21"/>
                <w:szCs w:val="21"/>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961CE">
            <w:pPr>
              <w:jc w:val="center"/>
              <w:rPr>
                <w:rFonts w:ascii="Arial" w:hAnsi="Arial" w:eastAsia="宋体" w:cs="Arial"/>
                <w:color w:val="auto"/>
                <w:sz w:val="21"/>
                <w:szCs w:val="21"/>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0B733">
            <w:pPr>
              <w:jc w:val="center"/>
              <w:rPr>
                <w:rFonts w:ascii="Arial" w:hAnsi="Arial" w:eastAsia="宋体" w:cs="Arial"/>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A5C8F">
            <w:pPr>
              <w:jc w:val="center"/>
              <w:rPr>
                <w:rFonts w:ascii="Arial" w:hAnsi="Arial" w:eastAsia="宋体" w:cs="Arial"/>
                <w:color w:val="auto"/>
                <w:sz w:val="21"/>
                <w:szCs w:val="21"/>
              </w:rPr>
            </w:pPr>
          </w:p>
        </w:tc>
      </w:tr>
      <w:tr w14:paraId="6C13BF69">
        <w:tblPrEx>
          <w:tblCellMar>
            <w:top w:w="0" w:type="dxa"/>
            <w:left w:w="108" w:type="dxa"/>
            <w:bottom w:w="0" w:type="dxa"/>
            <w:right w:w="108" w:type="dxa"/>
          </w:tblCellMar>
        </w:tblPrEx>
        <w:trPr>
          <w:trHeight w:val="557"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B4166">
            <w:pPr>
              <w:jc w:val="center"/>
              <w:rPr>
                <w:rFonts w:ascii="Arial" w:hAnsi="Arial" w:eastAsia="宋体" w:cs="Arial"/>
                <w:color w:val="auto"/>
                <w:sz w:val="21"/>
                <w:szCs w:val="21"/>
              </w:rPr>
            </w:pP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8D733">
            <w:pPr>
              <w:jc w:val="center"/>
              <w:rPr>
                <w:rFonts w:ascii="Arial" w:hAnsi="Arial" w:eastAsia="宋体" w:cs="Arial"/>
                <w:color w:val="auto"/>
                <w:sz w:val="21"/>
                <w:szCs w:val="21"/>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47DA4">
            <w:pPr>
              <w:jc w:val="center"/>
              <w:rPr>
                <w:rFonts w:ascii="Arial" w:hAnsi="Arial" w:eastAsia="宋体" w:cs="Arial"/>
                <w:color w:val="auto"/>
                <w:sz w:val="21"/>
                <w:szCs w:val="21"/>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5BF57">
            <w:pPr>
              <w:jc w:val="center"/>
              <w:rPr>
                <w:rFonts w:ascii="Arial" w:hAnsi="Arial" w:eastAsia="宋体" w:cs="Arial"/>
                <w:color w:val="auto"/>
                <w:sz w:val="21"/>
                <w:szCs w:val="21"/>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0A4FD">
            <w:pPr>
              <w:jc w:val="center"/>
              <w:rPr>
                <w:rFonts w:ascii="Arial" w:hAnsi="Arial" w:eastAsia="宋体" w:cs="Arial"/>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85223">
            <w:pPr>
              <w:jc w:val="center"/>
              <w:rPr>
                <w:rFonts w:ascii="Arial" w:hAnsi="Arial" w:eastAsia="宋体" w:cs="Arial"/>
                <w:color w:val="auto"/>
                <w:sz w:val="21"/>
                <w:szCs w:val="21"/>
              </w:rPr>
            </w:pPr>
          </w:p>
        </w:tc>
      </w:tr>
      <w:tr w14:paraId="473A570B">
        <w:tblPrEx>
          <w:tblCellMar>
            <w:top w:w="0" w:type="dxa"/>
            <w:left w:w="108" w:type="dxa"/>
            <w:bottom w:w="0" w:type="dxa"/>
            <w:right w:w="108" w:type="dxa"/>
          </w:tblCellMar>
        </w:tblPrEx>
        <w:trPr>
          <w:trHeight w:val="587"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30FE9">
            <w:pPr>
              <w:jc w:val="center"/>
              <w:rPr>
                <w:rFonts w:ascii="Arial" w:hAnsi="Arial" w:eastAsia="宋体" w:cs="Arial"/>
                <w:color w:val="auto"/>
                <w:sz w:val="21"/>
                <w:szCs w:val="21"/>
              </w:rPr>
            </w:pP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645B9">
            <w:pPr>
              <w:jc w:val="center"/>
              <w:rPr>
                <w:rFonts w:ascii="Arial" w:hAnsi="Arial" w:eastAsia="宋体" w:cs="Arial"/>
                <w:color w:val="auto"/>
                <w:sz w:val="21"/>
                <w:szCs w:val="21"/>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D8925">
            <w:pPr>
              <w:jc w:val="center"/>
              <w:rPr>
                <w:rFonts w:ascii="Arial" w:hAnsi="Arial" w:eastAsia="宋体" w:cs="Arial"/>
                <w:color w:val="auto"/>
                <w:sz w:val="21"/>
                <w:szCs w:val="21"/>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8EC64">
            <w:pPr>
              <w:jc w:val="center"/>
              <w:rPr>
                <w:rFonts w:ascii="Arial" w:hAnsi="Arial" w:eastAsia="宋体" w:cs="Arial"/>
                <w:color w:val="auto"/>
                <w:sz w:val="21"/>
                <w:szCs w:val="21"/>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30CA8">
            <w:pPr>
              <w:jc w:val="center"/>
              <w:rPr>
                <w:rFonts w:ascii="Arial" w:hAnsi="Arial" w:eastAsia="宋体" w:cs="Arial"/>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CB78C">
            <w:pPr>
              <w:jc w:val="center"/>
              <w:rPr>
                <w:rFonts w:hint="eastAsia" w:ascii="宋体" w:hAnsi="宋体" w:eastAsia="宋体" w:cs="宋体"/>
                <w:color w:val="auto"/>
                <w:sz w:val="22"/>
                <w:szCs w:val="22"/>
              </w:rPr>
            </w:pPr>
          </w:p>
        </w:tc>
      </w:tr>
    </w:tbl>
    <w:p w14:paraId="242A0B1A">
      <w:pPr>
        <w:pStyle w:val="3"/>
        <w:spacing w:before="241" w:line="216" w:lineRule="auto"/>
        <w:ind w:firstLine="0" w:firstLineChars="0"/>
        <w:rPr>
          <w:rFonts w:hint="eastAsia" w:ascii="仿宋" w:hAnsi="仿宋" w:eastAsia="仿宋" w:cs="仿宋"/>
          <w:color w:val="auto"/>
          <w:lang w:eastAsia="zh-CN"/>
        </w:rPr>
      </w:pPr>
      <w:r>
        <w:rPr>
          <w:rFonts w:hint="eastAsia" w:ascii="仿宋" w:hAnsi="仿宋" w:eastAsia="仿宋" w:cs="仿宋"/>
          <w:color w:val="auto"/>
          <w:spacing w:val="5"/>
          <w:lang w:eastAsia="zh-CN"/>
        </w:rPr>
        <w:t>备注：本表仅填报无接种史、有接种意愿者</w:t>
      </w:r>
    </w:p>
    <w:p w14:paraId="7BF8B092">
      <w:pPr>
        <w:pStyle w:val="3"/>
        <w:spacing w:before="241" w:line="216" w:lineRule="auto"/>
        <w:ind w:firstLine="0" w:firstLineChars="0"/>
        <w:rPr>
          <w:rFonts w:hint="eastAsia" w:ascii="仿宋" w:hAnsi="仿宋" w:eastAsia="仿宋" w:cs="仿宋"/>
          <w:color w:val="auto"/>
          <w:spacing w:val="5"/>
          <w:u w:val="single"/>
          <w:lang w:eastAsia="zh-CN"/>
        </w:rPr>
      </w:pPr>
      <w:r>
        <w:rPr>
          <w:rFonts w:hint="eastAsia" w:ascii="仿宋" w:hAnsi="仿宋" w:eastAsia="仿宋" w:cs="仿宋"/>
          <w:color w:val="auto"/>
          <w:spacing w:val="5"/>
          <w:lang w:eastAsia="zh-CN"/>
        </w:rPr>
        <w:t>填表人：           联系电话：            填表日期：</w:t>
      </w:r>
      <w:r>
        <w:rPr>
          <w:rFonts w:hint="eastAsia" w:ascii="仿宋" w:hAnsi="仿宋" w:eastAsia="仿宋" w:cs="仿宋"/>
          <w:color w:val="auto"/>
          <w:spacing w:val="5"/>
          <w:u w:val="single"/>
          <w:lang w:eastAsia="zh-CN"/>
        </w:rPr>
        <w:t xml:space="preserve">           </w:t>
      </w:r>
    </w:p>
    <w:p w14:paraId="0E9ABFDD">
      <w:pPr>
        <w:keepNext w:val="0"/>
        <w:keepLines w:val="0"/>
        <w:pageBreakBefore w:val="0"/>
        <w:kinsoku/>
        <w:wordWrap/>
        <w:overflowPunct/>
        <w:topLinePunct w:val="0"/>
        <w:autoSpaceDE/>
        <w:autoSpaceDN/>
        <w:bidi w:val="0"/>
        <w:adjustRightInd/>
        <w:snapToGrid/>
        <w:spacing w:after="0" w:line="440" w:lineRule="exact"/>
        <w:textAlignment w:val="auto"/>
        <w:rPr>
          <w:rFonts w:hint="eastAsia" w:ascii="黑体" w:hAnsi="黑体" w:eastAsia="黑体" w:cs="黑体"/>
          <w:color w:val="auto"/>
          <w:sz w:val="32"/>
          <w:szCs w:val="40"/>
          <w:lang w:val="en-US" w:eastAsia="zh-CN"/>
        </w:rPr>
      </w:pPr>
      <w:r>
        <w:rPr>
          <w:rFonts w:hint="eastAsia" w:ascii="黑体" w:hAnsi="黑体" w:eastAsia="黑体" w:cs="黑体"/>
          <w:color w:val="auto"/>
          <w:sz w:val="32"/>
          <w:szCs w:val="40"/>
          <w:lang w:eastAsia="zh-CN"/>
        </w:rPr>
        <w:t>附件</w:t>
      </w:r>
      <w:r>
        <w:rPr>
          <w:rFonts w:hint="eastAsia" w:ascii="黑体" w:hAnsi="黑体" w:eastAsia="黑体" w:cs="黑体"/>
          <w:color w:val="auto"/>
          <w:sz w:val="32"/>
          <w:szCs w:val="40"/>
          <w:lang w:val="en-US" w:eastAsia="zh-CN"/>
        </w:rPr>
        <w:t>3</w:t>
      </w:r>
    </w:p>
    <w:p w14:paraId="49381BED">
      <w:pPr>
        <w:keepNext w:val="0"/>
        <w:keepLines w:val="0"/>
        <w:pageBreakBefore w:val="0"/>
        <w:kinsoku/>
        <w:wordWrap/>
        <w:overflowPunct/>
        <w:topLinePunct w:val="0"/>
        <w:autoSpaceDE/>
        <w:autoSpaceDN/>
        <w:bidi w:val="0"/>
        <w:adjustRightInd/>
        <w:snapToGrid/>
        <w:spacing w:after="0" w:line="440" w:lineRule="exact"/>
        <w:textAlignment w:val="auto"/>
        <w:rPr>
          <w:rFonts w:hint="eastAsia" w:ascii="黑体" w:hAnsi="黑体" w:eastAsia="黑体" w:cs="黑体"/>
          <w:color w:val="auto"/>
          <w:sz w:val="32"/>
          <w:szCs w:val="40"/>
          <w:lang w:val="en-US" w:eastAsia="zh-CN"/>
        </w:rPr>
      </w:pPr>
    </w:p>
    <w:p w14:paraId="7D5285C9">
      <w:pPr>
        <w:keepNext w:val="0"/>
        <w:keepLines w:val="0"/>
        <w:pageBreakBefore w:val="0"/>
        <w:kinsoku/>
        <w:wordWrap/>
        <w:overflowPunct/>
        <w:topLinePunct w:val="0"/>
        <w:autoSpaceDE/>
        <w:autoSpaceDN/>
        <w:bidi w:val="0"/>
        <w:adjustRightInd/>
        <w:snapToGrid/>
        <w:spacing w:after="0" w:line="440" w:lineRule="exact"/>
        <w:jc w:val="center"/>
        <w:textAlignment w:val="auto"/>
        <w:rPr>
          <w:rFonts w:hint="eastAsia" w:ascii="方正小标宋_GBK" w:hAnsi="方正小标宋_GBK" w:eastAsia="方正小标宋_GBK" w:cs="方正小标宋_GBK"/>
          <w:color w:val="auto"/>
          <w:sz w:val="32"/>
          <w:szCs w:val="32"/>
          <w:lang w:eastAsia="zh-CN"/>
        </w:rPr>
      </w:pPr>
      <w:r>
        <w:rPr>
          <w:rFonts w:hint="eastAsia" w:ascii="方正小标宋_GBK" w:hAnsi="方正小标宋_GBK" w:eastAsia="方正小标宋_GBK" w:cs="方正小标宋_GBK"/>
          <w:color w:val="auto"/>
          <w:sz w:val="32"/>
          <w:szCs w:val="32"/>
          <w:lang w:eastAsia="zh-CN"/>
        </w:rPr>
        <w:t>50岁及以上人群带状疱疹疫苗接种惠民活动告知书</w:t>
      </w:r>
    </w:p>
    <w:p w14:paraId="61E37CA8">
      <w:pPr>
        <w:keepNext w:val="0"/>
        <w:keepLines w:val="0"/>
        <w:pageBreakBefore w:val="0"/>
        <w:kinsoku/>
        <w:wordWrap/>
        <w:overflowPunct/>
        <w:topLinePunct w:val="0"/>
        <w:autoSpaceDE/>
        <w:autoSpaceDN/>
        <w:bidi w:val="0"/>
        <w:adjustRightInd/>
        <w:snapToGrid/>
        <w:spacing w:after="0" w:line="440" w:lineRule="exact"/>
        <w:jc w:val="center"/>
        <w:textAlignment w:val="auto"/>
        <w:rPr>
          <w:rFonts w:hint="eastAsia" w:ascii="方正小标宋_GBK" w:hAnsi="方正小标宋_GBK" w:eastAsia="方正小标宋_GBK" w:cs="方正小标宋_GBK"/>
          <w:color w:val="auto"/>
          <w:sz w:val="32"/>
          <w:szCs w:val="32"/>
          <w:lang w:eastAsia="zh-CN"/>
        </w:rPr>
      </w:pPr>
      <w:r>
        <w:rPr>
          <w:rFonts w:hint="eastAsia" w:ascii="方正小标宋_GBK" w:hAnsi="方正小标宋_GBK" w:eastAsia="方正小标宋_GBK" w:cs="方正小标宋_GBK"/>
          <w:color w:val="auto"/>
          <w:sz w:val="32"/>
          <w:szCs w:val="32"/>
          <w:lang w:eastAsia="zh-CN"/>
        </w:rPr>
        <w:t>（参考）</w:t>
      </w:r>
    </w:p>
    <w:p w14:paraId="74744858">
      <w:pPr>
        <w:keepNext w:val="0"/>
        <w:keepLines w:val="0"/>
        <w:pageBreakBefore w:val="0"/>
        <w:widowControl w:val="0"/>
        <w:kinsoku/>
        <w:wordWrap/>
        <w:overflowPunct/>
        <w:topLinePunct w:val="0"/>
        <w:autoSpaceDE/>
        <w:autoSpaceDN/>
        <w:bidi w:val="0"/>
        <w:adjustRightInd/>
        <w:snapToGrid/>
        <w:spacing w:after="0" w:line="440" w:lineRule="exact"/>
        <w:textAlignment w:val="auto"/>
        <w:rPr>
          <w:rFonts w:hint="eastAsia" w:ascii="仿宋" w:hAnsi="仿宋" w:eastAsia="仿宋" w:cs="仿宋"/>
          <w:color w:val="auto"/>
          <w:spacing w:val="-5"/>
          <w:sz w:val="28"/>
          <w:szCs w:val="28"/>
          <w:lang w:eastAsia="zh-CN"/>
        </w:rPr>
      </w:pPr>
      <w:r>
        <w:rPr>
          <w:rFonts w:hint="eastAsia" w:ascii="仿宋" w:hAnsi="仿宋" w:eastAsia="仿宋" w:cs="仿宋"/>
          <w:color w:val="auto"/>
          <w:spacing w:val="-5"/>
          <w:sz w:val="28"/>
          <w:szCs w:val="28"/>
          <w:lang w:eastAsia="zh-CN"/>
        </w:rPr>
        <w:t>亲爱的居民朋友：</w:t>
      </w:r>
    </w:p>
    <w:p w14:paraId="2C086044">
      <w:pPr>
        <w:keepNext w:val="0"/>
        <w:keepLines w:val="0"/>
        <w:pageBreakBefore w:val="0"/>
        <w:widowControl w:val="0"/>
        <w:kinsoku/>
        <w:wordWrap/>
        <w:overflowPunct/>
        <w:topLinePunct w:val="0"/>
        <w:autoSpaceDE/>
        <w:autoSpaceDN/>
        <w:bidi w:val="0"/>
        <w:adjustRightInd/>
        <w:snapToGrid/>
        <w:spacing w:after="0" w:line="440" w:lineRule="exact"/>
        <w:ind w:firstLine="540" w:firstLineChars="200"/>
        <w:textAlignment w:val="auto"/>
        <w:rPr>
          <w:rFonts w:hint="eastAsia" w:ascii="仿宋" w:hAnsi="仿宋" w:eastAsia="仿宋" w:cs="仿宋"/>
          <w:color w:val="auto"/>
          <w:spacing w:val="-5"/>
          <w:sz w:val="28"/>
          <w:szCs w:val="28"/>
          <w:lang w:eastAsia="zh-CN"/>
        </w:rPr>
      </w:pPr>
      <w:r>
        <w:rPr>
          <w:rFonts w:hint="eastAsia" w:ascii="仿宋" w:hAnsi="仿宋" w:eastAsia="仿宋" w:cs="仿宋"/>
          <w:color w:val="auto"/>
          <w:spacing w:val="-5"/>
          <w:sz w:val="28"/>
          <w:szCs w:val="28"/>
          <w:lang w:eastAsia="zh-CN"/>
        </w:rPr>
        <w:t>您好！带状疱疹俗称“蛇缠腰”，是由水痘-带状疱疹病毒再激活引起的常见感染性疾病。中国90%以上的成人已经感染该病毒，大概有1/3的人一生中会患带状疱疹。带状疱疹最常见的并发症为带状疱疹后神经痛，疼痛程度可达十级，可长达数年到数十年。特殊类型带状疱疹还可能导致卒中、耳聋、眼瞎等并发症，严重时甚至致人死亡。目前，带状疱疹没有特效药，接种疫苗是最有效的预防手段。</w:t>
      </w:r>
    </w:p>
    <w:p w14:paraId="5861D3C3">
      <w:pPr>
        <w:keepNext w:val="0"/>
        <w:keepLines w:val="0"/>
        <w:pageBreakBefore w:val="0"/>
        <w:widowControl w:val="0"/>
        <w:kinsoku/>
        <w:wordWrap/>
        <w:overflowPunct/>
        <w:topLinePunct w:val="0"/>
        <w:autoSpaceDE/>
        <w:autoSpaceDN/>
        <w:bidi w:val="0"/>
        <w:adjustRightInd/>
        <w:snapToGrid/>
        <w:spacing w:after="0" w:line="440" w:lineRule="exact"/>
        <w:ind w:firstLine="540" w:firstLineChars="200"/>
        <w:textAlignment w:val="auto"/>
        <w:rPr>
          <w:rFonts w:hint="eastAsia" w:ascii="仿宋" w:hAnsi="仿宋" w:eastAsia="仿宋" w:cs="仿宋"/>
          <w:color w:val="auto"/>
          <w:spacing w:val="-5"/>
          <w:sz w:val="28"/>
          <w:szCs w:val="28"/>
          <w:lang w:eastAsia="zh-CN"/>
        </w:rPr>
      </w:pPr>
      <w:r>
        <w:rPr>
          <w:rFonts w:hint="eastAsia" w:ascii="仿宋" w:hAnsi="仿宋" w:eastAsia="仿宋" w:cs="仿宋"/>
          <w:color w:val="auto"/>
          <w:spacing w:val="-5"/>
          <w:sz w:val="28"/>
          <w:szCs w:val="28"/>
          <w:lang w:eastAsia="zh-CN"/>
        </w:rPr>
        <w:t>【接种对象】既往无带状疱疹疫苗接种史、无接种禁忌症且有意向接种带状疱疹疫苗的50岁及以上所有人群。</w:t>
      </w:r>
    </w:p>
    <w:p w14:paraId="3C05CF7C">
      <w:pPr>
        <w:keepNext w:val="0"/>
        <w:keepLines w:val="0"/>
        <w:pageBreakBefore w:val="0"/>
        <w:widowControl w:val="0"/>
        <w:kinsoku/>
        <w:wordWrap/>
        <w:overflowPunct/>
        <w:topLinePunct w:val="0"/>
        <w:autoSpaceDE/>
        <w:autoSpaceDN/>
        <w:bidi w:val="0"/>
        <w:adjustRightInd/>
        <w:snapToGrid/>
        <w:spacing w:after="0" w:line="440" w:lineRule="exact"/>
        <w:ind w:firstLine="540" w:firstLineChars="200"/>
        <w:textAlignment w:val="auto"/>
        <w:rPr>
          <w:rFonts w:hint="eastAsia" w:ascii="仿宋" w:hAnsi="仿宋" w:eastAsia="仿宋" w:cs="仿宋"/>
          <w:color w:val="auto"/>
          <w:spacing w:val="-5"/>
          <w:sz w:val="28"/>
          <w:szCs w:val="28"/>
          <w:lang w:eastAsia="zh-CN"/>
        </w:rPr>
      </w:pPr>
      <w:r>
        <w:rPr>
          <w:rFonts w:hint="eastAsia" w:ascii="仿宋" w:hAnsi="仿宋" w:eastAsia="仿宋" w:cs="仿宋"/>
          <w:color w:val="auto"/>
          <w:spacing w:val="-5"/>
          <w:sz w:val="28"/>
          <w:szCs w:val="28"/>
          <w:lang w:eastAsia="zh-CN"/>
        </w:rPr>
        <w:t>【项目实施期间】2025年7月1日至12月31日。</w:t>
      </w:r>
    </w:p>
    <w:p w14:paraId="45F59440">
      <w:pPr>
        <w:keepNext w:val="0"/>
        <w:keepLines w:val="0"/>
        <w:pageBreakBefore w:val="0"/>
        <w:widowControl w:val="0"/>
        <w:kinsoku/>
        <w:wordWrap/>
        <w:overflowPunct/>
        <w:topLinePunct w:val="0"/>
        <w:autoSpaceDE/>
        <w:autoSpaceDN/>
        <w:bidi w:val="0"/>
        <w:adjustRightInd/>
        <w:snapToGrid/>
        <w:spacing w:after="0" w:line="440" w:lineRule="exact"/>
        <w:ind w:firstLine="540" w:firstLineChars="200"/>
        <w:textAlignment w:val="auto"/>
        <w:rPr>
          <w:rFonts w:hint="eastAsia" w:ascii="仿宋" w:hAnsi="仿宋" w:eastAsia="仿宋" w:cs="仿宋"/>
          <w:color w:val="auto"/>
          <w:spacing w:val="-5"/>
          <w:sz w:val="28"/>
          <w:szCs w:val="28"/>
          <w:lang w:eastAsia="zh-CN"/>
        </w:rPr>
      </w:pPr>
      <w:r>
        <w:rPr>
          <w:rFonts w:hint="eastAsia" w:ascii="仿宋" w:hAnsi="仿宋" w:eastAsia="仿宋" w:cs="仿宋"/>
          <w:color w:val="auto"/>
          <w:spacing w:val="-5"/>
          <w:sz w:val="28"/>
          <w:szCs w:val="28"/>
          <w:lang w:eastAsia="zh-CN"/>
        </w:rPr>
        <w:t>【优惠政策】具体疫苗惠民政策到就近预防接种门诊详询。</w:t>
      </w:r>
    </w:p>
    <w:p w14:paraId="79452AAC">
      <w:pPr>
        <w:keepNext w:val="0"/>
        <w:keepLines w:val="0"/>
        <w:pageBreakBefore w:val="0"/>
        <w:widowControl w:val="0"/>
        <w:kinsoku/>
        <w:wordWrap/>
        <w:overflowPunct/>
        <w:topLinePunct w:val="0"/>
        <w:autoSpaceDE/>
        <w:autoSpaceDN/>
        <w:bidi w:val="0"/>
        <w:adjustRightInd/>
        <w:snapToGrid/>
        <w:spacing w:after="0" w:line="440" w:lineRule="exact"/>
        <w:ind w:firstLine="540" w:firstLineChars="200"/>
        <w:textAlignment w:val="auto"/>
        <w:rPr>
          <w:rFonts w:hint="eastAsia" w:ascii="仿宋" w:hAnsi="仿宋" w:eastAsia="仿宋" w:cs="仿宋"/>
          <w:color w:val="auto"/>
          <w:spacing w:val="-5"/>
          <w:sz w:val="28"/>
          <w:szCs w:val="28"/>
          <w:lang w:eastAsia="zh-CN"/>
        </w:rPr>
      </w:pPr>
      <w:r>
        <w:rPr>
          <w:rFonts w:hint="eastAsia" w:ascii="仿宋" w:hAnsi="仿宋" w:eastAsia="仿宋" w:cs="仿宋"/>
          <w:color w:val="auto"/>
          <w:spacing w:val="-5"/>
          <w:sz w:val="28"/>
          <w:szCs w:val="28"/>
          <w:lang w:eastAsia="zh-CN"/>
        </w:rPr>
        <w:t>希望居民朋友们全面了解带状疱疹病毒感染相关疾病的科普知识，积极为自己、为父母撑起健康保护伞，给自己和家庭一个幸福健康的未来。</w:t>
      </w:r>
    </w:p>
    <w:p w14:paraId="6D82F700">
      <w:pPr>
        <w:keepNext w:val="0"/>
        <w:keepLines w:val="0"/>
        <w:pageBreakBefore w:val="0"/>
        <w:widowControl w:val="0"/>
        <w:kinsoku/>
        <w:wordWrap/>
        <w:overflowPunct/>
        <w:topLinePunct w:val="0"/>
        <w:autoSpaceDE/>
        <w:autoSpaceDN/>
        <w:bidi w:val="0"/>
        <w:adjustRightInd/>
        <w:snapToGrid/>
        <w:spacing w:after="0" w:line="440" w:lineRule="exact"/>
        <w:ind w:firstLine="540" w:firstLineChars="200"/>
        <w:textAlignment w:val="auto"/>
        <w:rPr>
          <w:rFonts w:hint="eastAsia" w:ascii="仿宋" w:hAnsi="仿宋" w:eastAsia="仿宋" w:cs="仿宋"/>
          <w:color w:val="auto"/>
          <w:spacing w:val="-5"/>
          <w:sz w:val="28"/>
          <w:szCs w:val="28"/>
          <w:lang w:eastAsia="zh-CN"/>
        </w:rPr>
      </w:pPr>
    </w:p>
    <w:p w14:paraId="611B62ED">
      <w:pPr>
        <w:keepNext w:val="0"/>
        <w:keepLines w:val="0"/>
        <w:pageBreakBefore w:val="0"/>
        <w:kinsoku/>
        <w:wordWrap/>
        <w:overflowPunct/>
        <w:topLinePunct w:val="0"/>
        <w:autoSpaceDE/>
        <w:autoSpaceDN/>
        <w:bidi w:val="0"/>
        <w:adjustRightInd/>
        <w:snapToGrid/>
        <w:spacing w:after="0" w:line="440" w:lineRule="exact"/>
        <w:jc w:val="center"/>
        <w:textAlignment w:val="auto"/>
        <w:rPr>
          <w:rFonts w:hint="eastAsia" w:ascii="方正小标宋_GBK" w:hAnsi="方正小标宋_GBK" w:eastAsia="方正小标宋_GBK" w:cs="方正小标宋_GBK"/>
          <w:color w:val="auto"/>
          <w:spacing w:val="15"/>
          <w:sz w:val="40"/>
          <w:szCs w:val="40"/>
          <w:lang w:eastAsia="zh-CN"/>
        </w:rPr>
      </w:pPr>
    </w:p>
    <w:p w14:paraId="6FAA8590">
      <w:pPr>
        <w:keepNext w:val="0"/>
        <w:keepLines w:val="0"/>
        <w:pageBreakBefore w:val="0"/>
        <w:kinsoku/>
        <w:wordWrap/>
        <w:overflowPunct/>
        <w:topLinePunct w:val="0"/>
        <w:autoSpaceDE/>
        <w:autoSpaceDN/>
        <w:bidi w:val="0"/>
        <w:adjustRightInd/>
        <w:snapToGrid/>
        <w:spacing w:after="0" w:line="440" w:lineRule="exact"/>
        <w:jc w:val="center"/>
        <w:textAlignment w:val="auto"/>
        <w:rPr>
          <w:rFonts w:hint="eastAsia" w:ascii="方正小标宋_GBK" w:hAnsi="方正小标宋_GBK" w:eastAsia="方正小标宋_GBK" w:cs="方正小标宋_GBK"/>
          <w:color w:val="auto"/>
          <w:spacing w:val="15"/>
          <w:sz w:val="32"/>
          <w:szCs w:val="32"/>
          <w:lang w:eastAsia="zh-CN"/>
        </w:rPr>
      </w:pPr>
      <w:r>
        <w:rPr>
          <w:rFonts w:hint="eastAsia" w:ascii="方正小标宋_GBK" w:hAnsi="方正小标宋_GBK" w:eastAsia="方正小标宋_GBK" w:cs="方正小标宋_GBK"/>
          <w:color w:val="auto"/>
          <w:spacing w:val="15"/>
          <w:sz w:val="32"/>
          <w:szCs w:val="32"/>
          <w:lang w:eastAsia="zh-CN"/>
        </w:rPr>
        <w:t>南阳市</w:t>
      </w:r>
      <w:r>
        <w:rPr>
          <w:rFonts w:hint="eastAsia" w:ascii="方正小标宋_GBK" w:hAnsi="方正小标宋_GBK" w:eastAsia="方正小标宋_GBK" w:cs="方正小标宋_GBK"/>
          <w:color w:val="auto"/>
          <w:spacing w:val="15"/>
          <w:sz w:val="32"/>
          <w:szCs w:val="32"/>
          <w:lang w:val="en-US" w:eastAsia="zh-CN"/>
        </w:rPr>
        <w:t>带状疱疹</w:t>
      </w:r>
      <w:r>
        <w:rPr>
          <w:rFonts w:hint="eastAsia" w:ascii="方正小标宋_GBK" w:hAnsi="方正小标宋_GBK" w:eastAsia="方正小标宋_GBK" w:cs="方正小标宋_GBK"/>
          <w:color w:val="auto"/>
          <w:spacing w:val="15"/>
          <w:sz w:val="32"/>
          <w:szCs w:val="32"/>
          <w:lang w:eastAsia="zh-CN"/>
        </w:rPr>
        <w:t>疫苗接种惠民活动告知书回执（参考）</w:t>
      </w:r>
    </w:p>
    <w:p w14:paraId="6C163373">
      <w:pPr>
        <w:keepNext w:val="0"/>
        <w:keepLines w:val="0"/>
        <w:pageBreakBefore w:val="0"/>
        <w:kinsoku/>
        <w:wordWrap/>
        <w:overflowPunct/>
        <w:topLinePunct w:val="0"/>
        <w:autoSpaceDE/>
        <w:autoSpaceDN/>
        <w:bidi w:val="0"/>
        <w:adjustRightInd/>
        <w:snapToGrid/>
        <w:spacing w:after="0" w:line="440" w:lineRule="exact"/>
        <w:jc w:val="center"/>
        <w:textAlignment w:val="auto"/>
        <w:rPr>
          <w:rFonts w:hint="eastAsia" w:cs="微软雅黑"/>
          <w:b/>
          <w:bCs/>
          <w:color w:val="auto"/>
          <w:spacing w:val="15"/>
          <w:sz w:val="36"/>
          <w:szCs w:val="36"/>
          <w:lang w:eastAsia="zh-CN"/>
        </w:rPr>
      </w:pPr>
    </w:p>
    <w:p w14:paraId="63037B2C">
      <w:pPr>
        <w:keepNext w:val="0"/>
        <w:keepLines w:val="0"/>
        <w:pageBreakBefore w:val="0"/>
        <w:widowControl w:val="0"/>
        <w:kinsoku/>
        <w:wordWrap/>
        <w:overflowPunct/>
        <w:topLinePunct w:val="0"/>
        <w:autoSpaceDE/>
        <w:autoSpaceDN/>
        <w:bidi w:val="0"/>
        <w:adjustRightInd/>
        <w:snapToGrid/>
        <w:spacing w:after="0" w:line="440" w:lineRule="exact"/>
        <w:ind w:firstLine="540" w:firstLineChars="200"/>
        <w:jc w:val="left"/>
        <w:textAlignment w:val="auto"/>
        <w:rPr>
          <w:rFonts w:hint="eastAsia" w:ascii="仿宋" w:hAnsi="仿宋" w:eastAsia="仿宋" w:cs="仿宋"/>
          <w:color w:val="auto"/>
          <w:spacing w:val="-5"/>
          <w:sz w:val="28"/>
          <w:szCs w:val="28"/>
          <w:lang w:eastAsia="zh-CN"/>
        </w:rPr>
      </w:pPr>
      <w:r>
        <w:rPr>
          <w:rFonts w:hint="eastAsia" w:ascii="仿宋" w:hAnsi="仿宋" w:eastAsia="仿宋" w:cs="仿宋"/>
          <w:color w:val="auto"/>
          <w:spacing w:val="-5"/>
          <w:sz w:val="28"/>
          <w:szCs w:val="28"/>
          <w:lang w:eastAsia="zh-CN"/>
        </w:rPr>
        <w:t xml:space="preserve">姓名：          </w:t>
      </w:r>
      <w:r>
        <w:rPr>
          <w:rFonts w:hint="eastAsia" w:ascii="仿宋" w:hAnsi="仿宋" w:eastAsia="仿宋" w:cs="仿宋"/>
          <w:color w:val="auto"/>
          <w:spacing w:val="-5"/>
          <w:sz w:val="28"/>
          <w:szCs w:val="28"/>
          <w:lang w:val="en-US" w:eastAsia="zh-CN"/>
        </w:rPr>
        <w:t xml:space="preserve">  </w:t>
      </w:r>
      <w:r>
        <w:rPr>
          <w:rFonts w:hint="eastAsia" w:ascii="仿宋" w:hAnsi="仿宋" w:eastAsia="仿宋" w:cs="仿宋"/>
          <w:color w:val="auto"/>
          <w:spacing w:val="-5"/>
          <w:sz w:val="28"/>
          <w:szCs w:val="28"/>
          <w:lang w:eastAsia="zh-CN"/>
        </w:rPr>
        <w:t xml:space="preserve"> 出生日期：     年   月   日</w:t>
      </w:r>
    </w:p>
    <w:p w14:paraId="20E689BD">
      <w:pPr>
        <w:keepNext w:val="0"/>
        <w:keepLines w:val="0"/>
        <w:pageBreakBefore w:val="0"/>
        <w:widowControl w:val="0"/>
        <w:kinsoku/>
        <w:wordWrap/>
        <w:overflowPunct/>
        <w:topLinePunct w:val="0"/>
        <w:autoSpaceDE/>
        <w:autoSpaceDN/>
        <w:bidi w:val="0"/>
        <w:adjustRightInd/>
        <w:snapToGrid/>
        <w:spacing w:after="0" w:line="440" w:lineRule="exact"/>
        <w:ind w:firstLine="540" w:firstLineChars="200"/>
        <w:jc w:val="left"/>
        <w:textAlignment w:val="auto"/>
        <w:rPr>
          <w:rFonts w:hint="eastAsia" w:ascii="仿宋" w:hAnsi="仿宋" w:eastAsia="仿宋" w:cs="仿宋"/>
          <w:color w:val="auto"/>
          <w:sz w:val="28"/>
          <w:szCs w:val="28"/>
          <w:lang w:val="en-US" w:eastAsia="zh-CN" w:bidi="ar"/>
        </w:rPr>
      </w:pPr>
      <w:r>
        <w:rPr>
          <w:rFonts w:hint="eastAsia" w:ascii="仿宋" w:hAnsi="仿宋" w:eastAsia="仿宋" w:cs="仿宋"/>
          <w:color w:val="auto"/>
          <w:spacing w:val="-5"/>
          <w:sz w:val="28"/>
          <w:szCs w:val="28"/>
          <w:lang w:eastAsia="zh-CN"/>
        </w:rPr>
        <w:t xml:space="preserve">电话：           </w:t>
      </w:r>
      <w:r>
        <w:rPr>
          <w:rFonts w:hint="eastAsia" w:ascii="仿宋" w:hAnsi="仿宋" w:eastAsia="仿宋" w:cs="仿宋"/>
          <w:color w:val="auto"/>
          <w:spacing w:val="-5"/>
          <w:sz w:val="28"/>
          <w:szCs w:val="28"/>
          <w:lang w:val="en-US" w:eastAsia="zh-CN"/>
        </w:rPr>
        <w:t xml:space="preserve">  </w:t>
      </w:r>
      <w:r>
        <w:rPr>
          <w:rFonts w:hint="eastAsia" w:ascii="仿宋" w:hAnsi="仿宋" w:eastAsia="仿宋" w:cs="仿宋"/>
          <w:color w:val="auto"/>
          <w:sz w:val="28"/>
          <w:szCs w:val="28"/>
          <w:lang w:eastAsia="zh-CN" w:bidi="ar"/>
        </w:rPr>
        <w:t>有</w:t>
      </w:r>
      <w:r>
        <w:rPr>
          <w:rFonts w:hint="eastAsia" w:ascii="仿宋" w:hAnsi="仿宋" w:eastAsia="仿宋" w:cs="仿宋"/>
          <w:color w:val="auto"/>
          <w:sz w:val="28"/>
          <w:szCs w:val="28"/>
          <w:lang w:val="en-US" w:eastAsia="zh-CN" w:bidi="ar"/>
        </w:rPr>
        <w:t>无带状疱疹</w:t>
      </w:r>
      <w:r>
        <w:rPr>
          <w:rFonts w:hint="eastAsia" w:ascii="仿宋" w:hAnsi="仿宋" w:eastAsia="仿宋" w:cs="仿宋"/>
          <w:color w:val="auto"/>
          <w:sz w:val="28"/>
          <w:szCs w:val="28"/>
          <w:lang w:eastAsia="zh-CN" w:bidi="ar"/>
        </w:rPr>
        <w:t>疫苗接种史：□有</w:t>
      </w:r>
      <w:r>
        <w:rPr>
          <w:rFonts w:hint="eastAsia" w:ascii="仿宋" w:hAnsi="仿宋" w:eastAsia="仿宋" w:cs="仿宋"/>
          <w:color w:val="auto"/>
          <w:sz w:val="28"/>
          <w:szCs w:val="28"/>
          <w:lang w:val="en-US" w:eastAsia="zh-CN" w:bidi="ar"/>
        </w:rPr>
        <w:t xml:space="preserve">  </w:t>
      </w:r>
      <w:r>
        <w:rPr>
          <w:rFonts w:hint="eastAsia" w:ascii="仿宋" w:hAnsi="仿宋" w:eastAsia="仿宋" w:cs="仿宋"/>
          <w:color w:val="auto"/>
          <w:sz w:val="28"/>
          <w:szCs w:val="28"/>
          <w:lang w:eastAsia="zh-CN" w:bidi="ar"/>
        </w:rPr>
        <w:t>□无</w:t>
      </w:r>
    </w:p>
    <w:p w14:paraId="5BCD93C6">
      <w:pPr>
        <w:keepNext w:val="0"/>
        <w:keepLines w:val="0"/>
        <w:pageBreakBefore w:val="0"/>
        <w:widowControl w:val="0"/>
        <w:kinsoku/>
        <w:wordWrap/>
        <w:overflowPunct/>
        <w:topLinePunct w:val="0"/>
        <w:autoSpaceDE/>
        <w:autoSpaceDN/>
        <w:bidi w:val="0"/>
        <w:adjustRightInd/>
        <w:snapToGrid/>
        <w:spacing w:after="0" w:line="440" w:lineRule="exact"/>
        <w:ind w:firstLine="540" w:firstLineChars="200"/>
        <w:jc w:val="left"/>
        <w:textAlignment w:val="auto"/>
        <w:rPr>
          <w:rFonts w:hint="eastAsia" w:ascii="仿宋" w:hAnsi="仿宋" w:eastAsia="仿宋" w:cs="仿宋"/>
          <w:color w:val="auto"/>
          <w:spacing w:val="-5"/>
          <w:sz w:val="28"/>
          <w:szCs w:val="28"/>
          <w:lang w:eastAsia="zh-CN"/>
        </w:rPr>
      </w:pPr>
      <w:r>
        <w:rPr>
          <w:rFonts w:hint="eastAsia" w:ascii="仿宋" w:hAnsi="仿宋" w:eastAsia="仿宋" w:cs="仿宋"/>
          <w:color w:val="auto"/>
          <w:spacing w:val="-5"/>
          <w:sz w:val="28"/>
          <w:szCs w:val="28"/>
          <w:lang w:eastAsia="zh-CN"/>
        </w:rPr>
        <w:t>有无</w:t>
      </w:r>
      <w:r>
        <w:rPr>
          <w:rFonts w:hint="eastAsia" w:ascii="仿宋" w:hAnsi="仿宋" w:eastAsia="仿宋" w:cs="仿宋"/>
          <w:color w:val="auto"/>
          <w:spacing w:val="-5"/>
          <w:sz w:val="28"/>
          <w:szCs w:val="28"/>
          <w:lang w:val="en-US" w:eastAsia="zh-CN"/>
        </w:rPr>
        <w:t>接种</w:t>
      </w:r>
      <w:r>
        <w:rPr>
          <w:rFonts w:hint="eastAsia" w:ascii="仿宋" w:hAnsi="仿宋" w:eastAsia="仿宋" w:cs="仿宋"/>
          <w:color w:val="auto"/>
          <w:spacing w:val="-5"/>
          <w:sz w:val="28"/>
          <w:szCs w:val="28"/>
          <w:lang w:eastAsia="zh-CN"/>
        </w:rPr>
        <w:t>禁忌症：□有</w:t>
      </w:r>
      <w:r>
        <w:rPr>
          <w:rFonts w:hint="eastAsia" w:ascii="仿宋" w:hAnsi="仿宋" w:eastAsia="仿宋" w:cs="仿宋"/>
          <w:color w:val="auto"/>
          <w:spacing w:val="-5"/>
          <w:sz w:val="28"/>
          <w:szCs w:val="28"/>
          <w:lang w:val="en-US" w:eastAsia="zh-CN"/>
        </w:rPr>
        <w:t xml:space="preserve">  </w:t>
      </w:r>
      <w:r>
        <w:rPr>
          <w:rFonts w:hint="eastAsia" w:ascii="仿宋" w:hAnsi="仿宋" w:eastAsia="仿宋" w:cs="仿宋"/>
          <w:color w:val="auto"/>
          <w:spacing w:val="-5"/>
          <w:sz w:val="28"/>
          <w:szCs w:val="28"/>
          <w:lang w:eastAsia="zh-CN"/>
        </w:rPr>
        <w:t>□无</w:t>
      </w:r>
    </w:p>
    <w:p w14:paraId="398F5853">
      <w:pPr>
        <w:keepNext w:val="0"/>
        <w:keepLines w:val="0"/>
        <w:pageBreakBefore w:val="0"/>
        <w:widowControl w:val="0"/>
        <w:kinsoku/>
        <w:wordWrap/>
        <w:overflowPunct/>
        <w:topLinePunct w:val="0"/>
        <w:autoSpaceDE/>
        <w:autoSpaceDN/>
        <w:bidi w:val="0"/>
        <w:adjustRightInd/>
        <w:snapToGrid/>
        <w:spacing w:after="0" w:line="440" w:lineRule="exact"/>
        <w:ind w:firstLine="540" w:firstLineChars="200"/>
        <w:jc w:val="left"/>
        <w:textAlignment w:val="auto"/>
        <w:rPr>
          <w:rFonts w:hint="eastAsia" w:ascii="仿宋" w:hAnsi="仿宋" w:eastAsia="仿宋" w:cs="仿宋"/>
          <w:color w:val="auto"/>
          <w:spacing w:val="-5"/>
          <w:sz w:val="28"/>
          <w:szCs w:val="28"/>
          <w:lang w:eastAsia="zh-CN"/>
        </w:rPr>
      </w:pPr>
      <w:r>
        <w:rPr>
          <w:rFonts w:hint="eastAsia" w:ascii="仿宋" w:hAnsi="仿宋" w:eastAsia="仿宋" w:cs="仿宋"/>
          <w:color w:val="auto"/>
          <w:spacing w:val="-5"/>
          <w:sz w:val="28"/>
          <w:szCs w:val="28"/>
          <w:lang w:eastAsia="zh-CN"/>
        </w:rPr>
        <w:t>【接种禁忌】已知对疫苗任何成分超敏者及以往接种该产品后出现超敏症状者不能接种本品。急性严重发热性疾病患者应推迟接种。</w:t>
      </w:r>
    </w:p>
    <w:p w14:paraId="29D80A23">
      <w:pPr>
        <w:keepNext w:val="0"/>
        <w:keepLines w:val="0"/>
        <w:pageBreakBefore w:val="0"/>
        <w:widowControl w:val="0"/>
        <w:kinsoku/>
        <w:wordWrap/>
        <w:overflowPunct/>
        <w:topLinePunct w:val="0"/>
        <w:autoSpaceDE/>
        <w:autoSpaceDN/>
        <w:bidi w:val="0"/>
        <w:adjustRightInd/>
        <w:snapToGrid/>
        <w:spacing w:after="0" w:line="440" w:lineRule="exact"/>
        <w:ind w:firstLine="540" w:firstLineChars="200"/>
        <w:jc w:val="left"/>
        <w:textAlignment w:val="auto"/>
        <w:rPr>
          <w:rFonts w:hint="eastAsia" w:ascii="仿宋" w:hAnsi="仿宋" w:eastAsia="仿宋" w:cs="仿宋"/>
          <w:color w:val="auto"/>
          <w:spacing w:val="-5"/>
          <w:sz w:val="28"/>
          <w:szCs w:val="28"/>
          <w:lang w:eastAsia="zh-CN"/>
        </w:rPr>
      </w:pPr>
      <w:r>
        <w:rPr>
          <w:rFonts w:hint="eastAsia" w:ascii="仿宋" w:hAnsi="仿宋" w:eastAsia="仿宋" w:cs="仿宋"/>
          <w:color w:val="auto"/>
          <w:spacing w:val="-5"/>
          <w:sz w:val="28"/>
          <w:szCs w:val="28"/>
          <w:lang w:eastAsia="zh-CN"/>
        </w:rPr>
        <w:t>阅读上述说明后如自愿参与本项目，请签名确认。</w:t>
      </w:r>
    </w:p>
    <w:p w14:paraId="3D1D41A2">
      <w:pPr>
        <w:keepNext w:val="0"/>
        <w:keepLines w:val="0"/>
        <w:pageBreakBefore w:val="0"/>
        <w:widowControl w:val="0"/>
        <w:kinsoku/>
        <w:wordWrap/>
        <w:overflowPunct/>
        <w:topLinePunct w:val="0"/>
        <w:autoSpaceDE/>
        <w:autoSpaceDN/>
        <w:bidi w:val="0"/>
        <w:adjustRightInd/>
        <w:snapToGrid/>
        <w:spacing w:after="0" w:line="440" w:lineRule="exact"/>
        <w:ind w:firstLine="540" w:firstLineChars="200"/>
        <w:jc w:val="left"/>
        <w:textAlignment w:val="auto"/>
        <w:rPr>
          <w:rFonts w:hint="eastAsia" w:ascii="仿宋" w:hAnsi="仿宋" w:eastAsia="仿宋" w:cs="仿宋"/>
          <w:color w:val="auto"/>
          <w:spacing w:val="-5"/>
          <w:sz w:val="28"/>
          <w:szCs w:val="28"/>
          <w:lang w:eastAsia="zh-CN"/>
        </w:rPr>
      </w:pPr>
      <w:r>
        <w:rPr>
          <w:rFonts w:hint="eastAsia" w:ascii="仿宋" w:hAnsi="仿宋" w:eastAsia="仿宋" w:cs="仿宋"/>
          <w:color w:val="auto"/>
          <w:spacing w:val="-5"/>
          <w:sz w:val="28"/>
          <w:szCs w:val="28"/>
          <w:lang w:eastAsia="zh-CN"/>
        </w:rPr>
        <w:t>同意接种本人签名：                   年   月   日</w:t>
      </w:r>
    </w:p>
    <w:p w14:paraId="4ED07884">
      <w:pPr>
        <w:spacing w:after="0" w:line="231" w:lineRule="auto"/>
        <w:rPr>
          <w:rFonts w:ascii="黑体" w:hAnsi="黑体" w:eastAsia="黑体" w:cs="黑体"/>
          <w:color w:val="auto"/>
          <w:spacing w:val="10"/>
          <w:sz w:val="31"/>
          <w:szCs w:val="31"/>
          <w:lang w:eastAsia="zh-CN"/>
        </w:rPr>
      </w:pPr>
    </w:p>
    <w:p w14:paraId="701B0DBF">
      <w:pPr>
        <w:spacing w:after="0" w:line="231" w:lineRule="auto"/>
        <w:rPr>
          <w:rFonts w:hint="eastAsia" w:ascii="黑体" w:hAnsi="黑体" w:eastAsia="黑体" w:cs="黑体"/>
          <w:color w:val="auto"/>
          <w:spacing w:val="10"/>
          <w:sz w:val="31"/>
          <w:szCs w:val="31"/>
          <w:lang w:eastAsia="zh-CN"/>
        </w:rPr>
      </w:pPr>
      <w:r>
        <w:rPr>
          <w:rFonts w:ascii="黑体" w:hAnsi="黑体" w:eastAsia="黑体" w:cs="黑体"/>
          <w:color w:val="auto"/>
          <w:spacing w:val="10"/>
          <w:sz w:val="31"/>
          <w:szCs w:val="31"/>
          <w:lang w:eastAsia="zh-CN"/>
        </w:rPr>
        <w:t>附件</w:t>
      </w:r>
      <w:r>
        <w:rPr>
          <w:rFonts w:hint="eastAsia" w:ascii="黑体" w:hAnsi="黑体" w:eastAsia="黑体" w:cs="黑体"/>
          <w:color w:val="auto"/>
          <w:spacing w:val="10"/>
          <w:sz w:val="31"/>
          <w:szCs w:val="31"/>
          <w:lang w:val="en-US" w:eastAsia="zh-CN"/>
        </w:rPr>
        <w:t>4</w:t>
      </w:r>
    </w:p>
    <w:p w14:paraId="21E12926">
      <w:pPr>
        <w:spacing w:after="0" w:line="231" w:lineRule="auto"/>
        <w:rPr>
          <w:rFonts w:hint="eastAsia" w:ascii="黑体" w:hAnsi="黑体" w:eastAsia="黑体" w:cs="黑体"/>
          <w:color w:val="auto"/>
          <w:spacing w:val="10"/>
          <w:sz w:val="31"/>
          <w:szCs w:val="31"/>
          <w:lang w:eastAsia="zh-CN"/>
        </w:rPr>
      </w:pPr>
    </w:p>
    <w:p w14:paraId="7AB7D016">
      <w:pPr>
        <w:widowControl w:val="0"/>
        <w:jc w:val="center"/>
        <w:rPr>
          <w:rFonts w:hint="eastAsia" w:ascii="方正小标宋_GBK" w:hAnsi="方正小标宋_GBK" w:eastAsia="方正小标宋_GBK" w:cs="方正小标宋_GBK"/>
          <w:color w:val="auto"/>
          <w:sz w:val="32"/>
          <w:szCs w:val="32"/>
          <w:lang w:eastAsia="zh-CN"/>
        </w:rPr>
      </w:pPr>
      <w:r>
        <w:rPr>
          <w:rFonts w:hint="eastAsia" w:ascii="方正小标宋_GBK" w:hAnsi="方正小标宋_GBK" w:eastAsia="方正小标宋_GBK" w:cs="方正小标宋_GBK"/>
          <w:color w:val="auto"/>
          <w:sz w:val="32"/>
          <w:szCs w:val="32"/>
          <w:lang w:eastAsia="zh-CN"/>
        </w:rPr>
        <w:t>50岁及以上人群</w:t>
      </w:r>
      <w:r>
        <w:rPr>
          <w:rFonts w:hint="eastAsia" w:ascii="方正小标宋_GBK" w:hAnsi="方正小标宋_GBK" w:eastAsia="方正小标宋_GBK" w:cs="方正小标宋_GBK"/>
          <w:color w:val="auto"/>
          <w:sz w:val="32"/>
          <w:szCs w:val="32"/>
          <w:lang w:val="en-US" w:eastAsia="zh-CN"/>
        </w:rPr>
        <w:t>带状疱疹</w:t>
      </w:r>
      <w:r>
        <w:rPr>
          <w:rFonts w:hint="eastAsia" w:ascii="方正小标宋_GBK" w:hAnsi="方正小标宋_GBK" w:eastAsia="方正小标宋_GBK" w:cs="方正小标宋_GBK"/>
          <w:color w:val="auto"/>
          <w:sz w:val="32"/>
          <w:szCs w:val="32"/>
          <w:lang w:eastAsia="zh-CN"/>
        </w:rPr>
        <w:t>疫苗接种意愿摸底统计表（参考）</w:t>
      </w:r>
    </w:p>
    <w:p w14:paraId="46B3ADF6">
      <w:pPr>
        <w:pStyle w:val="3"/>
        <w:spacing w:before="241" w:line="216" w:lineRule="auto"/>
        <w:ind w:firstLine="0" w:firstLineChars="0"/>
        <w:rPr>
          <w:rFonts w:hint="eastAsia" w:ascii="仿宋" w:hAnsi="仿宋" w:eastAsia="仿宋" w:cs="仿宋"/>
          <w:color w:val="auto"/>
          <w:spacing w:val="5"/>
          <w:sz w:val="28"/>
          <w:szCs w:val="28"/>
        </w:rPr>
      </w:pPr>
      <w:r>
        <w:rPr>
          <w:rFonts w:hint="eastAsia" w:ascii="仿宋" w:hAnsi="仿宋" w:eastAsia="仿宋" w:cs="仿宋"/>
          <w:color w:val="auto"/>
          <w:spacing w:val="5"/>
          <w:sz w:val="28"/>
          <w:szCs w:val="28"/>
        </w:rPr>
        <w:t>填表单位：</w:t>
      </w:r>
      <w:r>
        <w:rPr>
          <w:rFonts w:hint="eastAsia" w:ascii="仿宋" w:hAnsi="仿宋" w:eastAsia="仿宋" w:cs="仿宋"/>
          <w:color w:val="auto"/>
          <w:spacing w:val="5"/>
          <w:sz w:val="28"/>
          <w:szCs w:val="28"/>
          <w:lang w:eastAsia="zh-CN"/>
        </w:rPr>
        <w:t xml:space="preserve">         </w:t>
      </w:r>
    </w:p>
    <w:tbl>
      <w:tblPr>
        <w:tblStyle w:val="22"/>
        <w:tblW w:w="8865" w:type="dxa"/>
        <w:tblInd w:w="93" w:type="dxa"/>
        <w:tblLayout w:type="fixed"/>
        <w:tblCellMar>
          <w:top w:w="0" w:type="dxa"/>
          <w:left w:w="108" w:type="dxa"/>
          <w:bottom w:w="0" w:type="dxa"/>
          <w:right w:w="108" w:type="dxa"/>
        </w:tblCellMar>
      </w:tblPr>
      <w:tblGrid>
        <w:gridCol w:w="802"/>
        <w:gridCol w:w="1805"/>
        <w:gridCol w:w="1278"/>
        <w:gridCol w:w="1785"/>
        <w:gridCol w:w="1995"/>
        <w:gridCol w:w="1200"/>
      </w:tblGrid>
      <w:tr w14:paraId="1CC34163">
        <w:tblPrEx>
          <w:tblCellMar>
            <w:top w:w="0" w:type="dxa"/>
            <w:left w:w="108" w:type="dxa"/>
            <w:bottom w:w="0" w:type="dxa"/>
            <w:right w:w="108" w:type="dxa"/>
          </w:tblCellMar>
        </w:tblPrEx>
        <w:trPr>
          <w:trHeight w:val="758"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1CF4D">
            <w:pPr>
              <w:spacing w:after="0"/>
              <w:jc w:val="center"/>
              <w:textAlignment w:val="center"/>
              <w:rPr>
                <w:rFonts w:hint="eastAsia" w:ascii="仿宋" w:hAnsi="仿宋" w:eastAsia="仿宋" w:cs="仿宋"/>
                <w:b/>
                <w:bCs/>
                <w:color w:val="auto"/>
              </w:rPr>
            </w:pPr>
            <w:r>
              <w:rPr>
                <w:rFonts w:hint="eastAsia" w:ascii="仿宋" w:hAnsi="仿宋" w:eastAsia="仿宋" w:cs="仿宋"/>
                <w:b/>
                <w:bCs/>
                <w:color w:val="auto"/>
                <w:lang w:eastAsia="zh-CN" w:bidi="ar"/>
              </w:rPr>
              <w:t>序号</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79CAB">
            <w:pPr>
              <w:spacing w:after="0"/>
              <w:jc w:val="center"/>
              <w:textAlignment w:val="center"/>
              <w:rPr>
                <w:rFonts w:hint="eastAsia" w:ascii="仿宋" w:hAnsi="仿宋" w:eastAsia="仿宋" w:cs="仿宋"/>
                <w:b/>
                <w:bCs/>
                <w:color w:val="auto"/>
              </w:rPr>
            </w:pPr>
            <w:r>
              <w:rPr>
                <w:rFonts w:hint="eastAsia" w:ascii="仿宋" w:hAnsi="仿宋" w:eastAsia="仿宋" w:cs="仿宋"/>
                <w:b/>
                <w:bCs/>
                <w:color w:val="auto"/>
                <w:lang w:eastAsia="zh-CN" w:bidi="ar"/>
              </w:rPr>
              <w:t>姓名</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4BA4E">
            <w:pPr>
              <w:spacing w:after="0"/>
              <w:jc w:val="center"/>
              <w:textAlignment w:val="center"/>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性别</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C8F8A">
            <w:pPr>
              <w:spacing w:after="0"/>
              <w:jc w:val="center"/>
              <w:textAlignment w:val="center"/>
              <w:rPr>
                <w:rFonts w:hint="eastAsia" w:ascii="仿宋" w:hAnsi="仿宋" w:eastAsia="仿宋" w:cs="仿宋"/>
                <w:b/>
                <w:bCs/>
                <w:color w:val="auto"/>
                <w:lang w:eastAsia="zh-CN" w:bidi="ar"/>
              </w:rPr>
            </w:pPr>
            <w:r>
              <w:rPr>
                <w:rFonts w:hint="eastAsia" w:ascii="仿宋" w:hAnsi="仿宋" w:eastAsia="仿宋" w:cs="仿宋"/>
                <w:b/>
                <w:bCs/>
                <w:color w:val="auto"/>
                <w:lang w:eastAsia="zh-CN" w:bidi="ar"/>
              </w:rPr>
              <w:t>出生日期</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81EB5">
            <w:pPr>
              <w:spacing w:after="0"/>
              <w:jc w:val="center"/>
              <w:textAlignment w:val="center"/>
              <w:rPr>
                <w:rFonts w:hint="eastAsia" w:ascii="仿宋" w:hAnsi="仿宋" w:eastAsia="仿宋" w:cs="仿宋"/>
                <w:b/>
                <w:bCs/>
                <w:color w:val="auto"/>
              </w:rPr>
            </w:pPr>
            <w:r>
              <w:rPr>
                <w:rFonts w:hint="eastAsia" w:ascii="仿宋" w:hAnsi="仿宋" w:eastAsia="仿宋" w:cs="仿宋"/>
                <w:b/>
                <w:bCs/>
                <w:color w:val="auto"/>
                <w:lang w:eastAsia="zh-CN" w:bidi="ar"/>
              </w:rPr>
              <w:t>联系电话</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8C0A8">
            <w:pPr>
              <w:spacing w:after="0"/>
              <w:jc w:val="center"/>
              <w:textAlignment w:val="center"/>
              <w:rPr>
                <w:rFonts w:hint="eastAsia" w:ascii="仿宋" w:hAnsi="仿宋" w:eastAsia="仿宋" w:cs="仿宋"/>
                <w:b/>
                <w:bCs/>
                <w:color w:val="auto"/>
              </w:rPr>
            </w:pPr>
            <w:r>
              <w:rPr>
                <w:rFonts w:hint="eastAsia" w:ascii="仿宋" w:hAnsi="仿宋" w:eastAsia="仿宋" w:cs="仿宋"/>
                <w:b/>
                <w:bCs/>
                <w:color w:val="auto"/>
                <w:lang w:val="en-US" w:eastAsia="zh-CN" w:bidi="ar"/>
              </w:rPr>
              <w:t>备注</w:t>
            </w:r>
          </w:p>
        </w:tc>
      </w:tr>
      <w:tr w14:paraId="2F022D31">
        <w:tblPrEx>
          <w:tblCellMar>
            <w:top w:w="0" w:type="dxa"/>
            <w:left w:w="108" w:type="dxa"/>
            <w:bottom w:w="0" w:type="dxa"/>
            <w:right w:w="108" w:type="dxa"/>
          </w:tblCellMar>
        </w:tblPrEx>
        <w:trPr>
          <w:trHeight w:val="557"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BC75B">
            <w:pPr>
              <w:jc w:val="center"/>
              <w:rPr>
                <w:rFonts w:ascii="Arial" w:hAnsi="Arial" w:eastAsia="宋体" w:cs="Arial"/>
                <w:color w:val="auto"/>
                <w:sz w:val="21"/>
                <w:szCs w:val="21"/>
              </w:rPr>
            </w:pP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3F548">
            <w:pPr>
              <w:jc w:val="center"/>
              <w:rPr>
                <w:rFonts w:ascii="Arial" w:hAnsi="Arial" w:eastAsia="宋体" w:cs="Arial"/>
                <w:color w:val="auto"/>
                <w:sz w:val="21"/>
                <w:szCs w:val="21"/>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F4A81">
            <w:pPr>
              <w:jc w:val="center"/>
              <w:rPr>
                <w:rFonts w:ascii="Arial" w:hAnsi="Arial" w:eastAsia="宋体" w:cs="Arial"/>
                <w:color w:val="auto"/>
                <w:sz w:val="21"/>
                <w:szCs w:val="21"/>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1ADF4">
            <w:pPr>
              <w:jc w:val="center"/>
              <w:rPr>
                <w:rFonts w:ascii="Arial" w:hAnsi="Arial" w:eastAsia="宋体" w:cs="Arial"/>
                <w:color w:val="auto"/>
                <w:sz w:val="21"/>
                <w:szCs w:val="21"/>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C05FC">
            <w:pPr>
              <w:jc w:val="center"/>
              <w:rPr>
                <w:rFonts w:ascii="Arial" w:hAnsi="Arial" w:eastAsia="宋体" w:cs="Arial"/>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C9961">
            <w:pPr>
              <w:jc w:val="center"/>
              <w:rPr>
                <w:rFonts w:ascii="Arial" w:hAnsi="Arial" w:eastAsia="宋体" w:cs="Arial"/>
                <w:color w:val="auto"/>
                <w:sz w:val="21"/>
                <w:szCs w:val="21"/>
              </w:rPr>
            </w:pPr>
          </w:p>
        </w:tc>
      </w:tr>
      <w:tr w14:paraId="1AC082B1">
        <w:tblPrEx>
          <w:tblCellMar>
            <w:top w:w="0" w:type="dxa"/>
            <w:left w:w="108" w:type="dxa"/>
            <w:bottom w:w="0" w:type="dxa"/>
            <w:right w:w="108" w:type="dxa"/>
          </w:tblCellMar>
        </w:tblPrEx>
        <w:trPr>
          <w:trHeight w:val="557"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FE150">
            <w:pPr>
              <w:jc w:val="center"/>
              <w:rPr>
                <w:rFonts w:ascii="Arial" w:hAnsi="Arial" w:eastAsia="宋体" w:cs="Arial"/>
                <w:color w:val="auto"/>
                <w:sz w:val="21"/>
                <w:szCs w:val="21"/>
              </w:rPr>
            </w:pP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CB4AC">
            <w:pPr>
              <w:jc w:val="center"/>
              <w:rPr>
                <w:rFonts w:ascii="Arial" w:hAnsi="Arial" w:eastAsia="宋体" w:cs="Arial"/>
                <w:color w:val="auto"/>
                <w:sz w:val="21"/>
                <w:szCs w:val="21"/>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C104F">
            <w:pPr>
              <w:jc w:val="center"/>
              <w:rPr>
                <w:rFonts w:ascii="Arial" w:hAnsi="Arial" w:eastAsia="宋体" w:cs="Arial"/>
                <w:color w:val="auto"/>
                <w:sz w:val="21"/>
                <w:szCs w:val="21"/>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0BC56">
            <w:pPr>
              <w:jc w:val="center"/>
              <w:rPr>
                <w:rFonts w:ascii="Arial" w:hAnsi="Arial" w:eastAsia="宋体" w:cs="Arial"/>
                <w:color w:val="auto"/>
                <w:sz w:val="21"/>
                <w:szCs w:val="21"/>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02FA0">
            <w:pPr>
              <w:jc w:val="center"/>
              <w:rPr>
                <w:rFonts w:ascii="Arial" w:hAnsi="Arial" w:eastAsia="宋体" w:cs="Arial"/>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55059">
            <w:pPr>
              <w:jc w:val="center"/>
              <w:rPr>
                <w:rFonts w:ascii="Arial" w:hAnsi="Arial" w:eastAsia="宋体" w:cs="Arial"/>
                <w:color w:val="auto"/>
                <w:sz w:val="21"/>
                <w:szCs w:val="21"/>
              </w:rPr>
            </w:pPr>
          </w:p>
        </w:tc>
      </w:tr>
      <w:tr w14:paraId="4C8DB89A">
        <w:tblPrEx>
          <w:tblCellMar>
            <w:top w:w="0" w:type="dxa"/>
            <w:left w:w="108" w:type="dxa"/>
            <w:bottom w:w="0" w:type="dxa"/>
            <w:right w:w="108" w:type="dxa"/>
          </w:tblCellMar>
        </w:tblPrEx>
        <w:trPr>
          <w:trHeight w:val="557"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D13BC">
            <w:pPr>
              <w:jc w:val="center"/>
              <w:rPr>
                <w:rFonts w:ascii="Arial" w:hAnsi="Arial" w:eastAsia="宋体" w:cs="Arial"/>
                <w:color w:val="auto"/>
                <w:sz w:val="21"/>
                <w:szCs w:val="21"/>
              </w:rPr>
            </w:pP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0FB4A">
            <w:pPr>
              <w:jc w:val="center"/>
              <w:rPr>
                <w:rFonts w:ascii="Arial" w:hAnsi="Arial" w:eastAsia="宋体" w:cs="Arial"/>
                <w:color w:val="auto"/>
                <w:sz w:val="21"/>
                <w:szCs w:val="21"/>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75F35">
            <w:pPr>
              <w:jc w:val="center"/>
              <w:rPr>
                <w:rFonts w:ascii="Arial" w:hAnsi="Arial" w:eastAsia="宋体" w:cs="Arial"/>
                <w:color w:val="auto"/>
                <w:sz w:val="21"/>
                <w:szCs w:val="21"/>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0A869">
            <w:pPr>
              <w:jc w:val="center"/>
              <w:rPr>
                <w:rFonts w:ascii="Arial" w:hAnsi="Arial" w:eastAsia="宋体" w:cs="Arial"/>
                <w:color w:val="auto"/>
                <w:sz w:val="21"/>
                <w:szCs w:val="21"/>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0151C">
            <w:pPr>
              <w:jc w:val="center"/>
              <w:rPr>
                <w:rFonts w:ascii="Arial" w:hAnsi="Arial" w:eastAsia="宋体" w:cs="Arial"/>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3DA44">
            <w:pPr>
              <w:jc w:val="center"/>
              <w:rPr>
                <w:rFonts w:ascii="Arial" w:hAnsi="Arial" w:eastAsia="宋体" w:cs="Arial"/>
                <w:color w:val="auto"/>
                <w:sz w:val="21"/>
                <w:szCs w:val="21"/>
              </w:rPr>
            </w:pPr>
          </w:p>
        </w:tc>
      </w:tr>
      <w:tr w14:paraId="40B3EDAB">
        <w:tblPrEx>
          <w:tblCellMar>
            <w:top w:w="0" w:type="dxa"/>
            <w:left w:w="108" w:type="dxa"/>
            <w:bottom w:w="0" w:type="dxa"/>
            <w:right w:w="108" w:type="dxa"/>
          </w:tblCellMar>
        </w:tblPrEx>
        <w:trPr>
          <w:trHeight w:val="557"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3F339">
            <w:pPr>
              <w:jc w:val="center"/>
              <w:rPr>
                <w:rFonts w:ascii="Arial" w:hAnsi="Arial" w:eastAsia="宋体" w:cs="Arial"/>
                <w:color w:val="auto"/>
                <w:sz w:val="21"/>
                <w:szCs w:val="21"/>
              </w:rPr>
            </w:pP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25722">
            <w:pPr>
              <w:jc w:val="center"/>
              <w:rPr>
                <w:rFonts w:ascii="Arial" w:hAnsi="Arial" w:eastAsia="宋体" w:cs="Arial"/>
                <w:color w:val="auto"/>
                <w:sz w:val="21"/>
                <w:szCs w:val="21"/>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A0DE0">
            <w:pPr>
              <w:jc w:val="center"/>
              <w:rPr>
                <w:rFonts w:ascii="Arial" w:hAnsi="Arial" w:eastAsia="宋体" w:cs="Arial"/>
                <w:color w:val="auto"/>
                <w:sz w:val="21"/>
                <w:szCs w:val="21"/>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A447C">
            <w:pPr>
              <w:jc w:val="center"/>
              <w:rPr>
                <w:rFonts w:ascii="Arial" w:hAnsi="Arial" w:eastAsia="宋体" w:cs="Arial"/>
                <w:color w:val="auto"/>
                <w:sz w:val="21"/>
                <w:szCs w:val="21"/>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F9F5C">
            <w:pPr>
              <w:jc w:val="center"/>
              <w:rPr>
                <w:rFonts w:ascii="Arial" w:hAnsi="Arial" w:eastAsia="宋体" w:cs="Arial"/>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D36BC">
            <w:pPr>
              <w:jc w:val="center"/>
              <w:rPr>
                <w:rFonts w:ascii="Arial" w:hAnsi="Arial" w:eastAsia="宋体" w:cs="Arial"/>
                <w:color w:val="auto"/>
                <w:sz w:val="21"/>
                <w:szCs w:val="21"/>
              </w:rPr>
            </w:pPr>
          </w:p>
        </w:tc>
      </w:tr>
      <w:tr w14:paraId="5A3E1BCC">
        <w:tblPrEx>
          <w:tblCellMar>
            <w:top w:w="0" w:type="dxa"/>
            <w:left w:w="108" w:type="dxa"/>
            <w:bottom w:w="0" w:type="dxa"/>
            <w:right w:w="108" w:type="dxa"/>
          </w:tblCellMar>
        </w:tblPrEx>
        <w:trPr>
          <w:trHeight w:val="557"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E431B">
            <w:pPr>
              <w:jc w:val="center"/>
              <w:rPr>
                <w:rFonts w:ascii="Arial" w:hAnsi="Arial" w:eastAsia="宋体" w:cs="Arial"/>
                <w:color w:val="auto"/>
                <w:sz w:val="21"/>
                <w:szCs w:val="21"/>
              </w:rPr>
            </w:pP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1BCF7">
            <w:pPr>
              <w:jc w:val="center"/>
              <w:rPr>
                <w:rFonts w:ascii="Arial" w:hAnsi="Arial" w:eastAsia="宋体" w:cs="Arial"/>
                <w:color w:val="auto"/>
                <w:sz w:val="21"/>
                <w:szCs w:val="21"/>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F167C">
            <w:pPr>
              <w:jc w:val="center"/>
              <w:rPr>
                <w:rFonts w:ascii="Arial" w:hAnsi="Arial" w:eastAsia="宋体" w:cs="Arial"/>
                <w:color w:val="auto"/>
                <w:sz w:val="21"/>
                <w:szCs w:val="21"/>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99EFC">
            <w:pPr>
              <w:jc w:val="center"/>
              <w:rPr>
                <w:rFonts w:ascii="Arial" w:hAnsi="Arial" w:eastAsia="宋体" w:cs="Arial"/>
                <w:color w:val="auto"/>
                <w:sz w:val="21"/>
                <w:szCs w:val="21"/>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F3444">
            <w:pPr>
              <w:jc w:val="center"/>
              <w:rPr>
                <w:rFonts w:ascii="Arial" w:hAnsi="Arial" w:eastAsia="宋体" w:cs="Arial"/>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84491">
            <w:pPr>
              <w:jc w:val="center"/>
              <w:rPr>
                <w:rFonts w:ascii="Arial" w:hAnsi="Arial" w:eastAsia="宋体" w:cs="Arial"/>
                <w:color w:val="auto"/>
                <w:sz w:val="21"/>
                <w:szCs w:val="21"/>
              </w:rPr>
            </w:pPr>
          </w:p>
        </w:tc>
      </w:tr>
      <w:tr w14:paraId="2057CCD4">
        <w:tblPrEx>
          <w:tblCellMar>
            <w:top w:w="0" w:type="dxa"/>
            <w:left w:w="108" w:type="dxa"/>
            <w:bottom w:w="0" w:type="dxa"/>
            <w:right w:w="108" w:type="dxa"/>
          </w:tblCellMar>
        </w:tblPrEx>
        <w:trPr>
          <w:trHeight w:val="557"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2D6A6">
            <w:pPr>
              <w:jc w:val="center"/>
              <w:rPr>
                <w:rFonts w:ascii="Arial" w:hAnsi="Arial" w:eastAsia="宋体" w:cs="Arial"/>
                <w:color w:val="auto"/>
                <w:sz w:val="21"/>
                <w:szCs w:val="21"/>
              </w:rPr>
            </w:pP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2D4F2">
            <w:pPr>
              <w:jc w:val="center"/>
              <w:rPr>
                <w:rFonts w:ascii="Arial" w:hAnsi="Arial" w:eastAsia="宋体" w:cs="Arial"/>
                <w:color w:val="auto"/>
                <w:sz w:val="21"/>
                <w:szCs w:val="21"/>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1C64F">
            <w:pPr>
              <w:jc w:val="center"/>
              <w:rPr>
                <w:rFonts w:ascii="Arial" w:hAnsi="Arial" w:eastAsia="宋体" w:cs="Arial"/>
                <w:color w:val="auto"/>
                <w:sz w:val="21"/>
                <w:szCs w:val="21"/>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EA787">
            <w:pPr>
              <w:jc w:val="center"/>
              <w:rPr>
                <w:rFonts w:ascii="Arial" w:hAnsi="Arial" w:eastAsia="宋体" w:cs="Arial"/>
                <w:color w:val="auto"/>
                <w:sz w:val="21"/>
                <w:szCs w:val="21"/>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4CA2C">
            <w:pPr>
              <w:jc w:val="center"/>
              <w:rPr>
                <w:rFonts w:ascii="Arial" w:hAnsi="Arial" w:eastAsia="宋体" w:cs="Arial"/>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9CD8C">
            <w:pPr>
              <w:jc w:val="center"/>
              <w:rPr>
                <w:rFonts w:ascii="Arial" w:hAnsi="Arial" w:eastAsia="宋体" w:cs="Arial"/>
                <w:color w:val="auto"/>
                <w:sz w:val="21"/>
                <w:szCs w:val="21"/>
              </w:rPr>
            </w:pPr>
          </w:p>
        </w:tc>
      </w:tr>
      <w:tr w14:paraId="7B4BFF81">
        <w:tblPrEx>
          <w:tblCellMar>
            <w:top w:w="0" w:type="dxa"/>
            <w:left w:w="108" w:type="dxa"/>
            <w:bottom w:w="0" w:type="dxa"/>
            <w:right w:w="108" w:type="dxa"/>
          </w:tblCellMar>
        </w:tblPrEx>
        <w:trPr>
          <w:trHeight w:val="557"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4747B">
            <w:pPr>
              <w:jc w:val="center"/>
              <w:rPr>
                <w:rFonts w:ascii="Arial" w:hAnsi="Arial" w:eastAsia="宋体" w:cs="Arial"/>
                <w:color w:val="auto"/>
                <w:sz w:val="21"/>
                <w:szCs w:val="21"/>
              </w:rPr>
            </w:pP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C9074">
            <w:pPr>
              <w:jc w:val="center"/>
              <w:rPr>
                <w:rFonts w:ascii="Arial" w:hAnsi="Arial" w:eastAsia="宋体" w:cs="Arial"/>
                <w:color w:val="auto"/>
                <w:sz w:val="21"/>
                <w:szCs w:val="21"/>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DCA8D">
            <w:pPr>
              <w:jc w:val="center"/>
              <w:rPr>
                <w:rFonts w:ascii="Arial" w:hAnsi="Arial" w:eastAsia="宋体" w:cs="Arial"/>
                <w:color w:val="auto"/>
                <w:sz w:val="21"/>
                <w:szCs w:val="21"/>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E8CA9">
            <w:pPr>
              <w:jc w:val="center"/>
              <w:rPr>
                <w:rFonts w:ascii="Arial" w:hAnsi="Arial" w:eastAsia="宋体" w:cs="Arial"/>
                <w:color w:val="auto"/>
                <w:sz w:val="21"/>
                <w:szCs w:val="21"/>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C4DFD">
            <w:pPr>
              <w:jc w:val="center"/>
              <w:rPr>
                <w:rFonts w:ascii="Arial" w:hAnsi="Arial" w:eastAsia="宋体" w:cs="Arial"/>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3C571">
            <w:pPr>
              <w:jc w:val="center"/>
              <w:rPr>
                <w:rFonts w:ascii="Arial" w:hAnsi="Arial" w:eastAsia="宋体" w:cs="Arial"/>
                <w:color w:val="auto"/>
                <w:sz w:val="21"/>
                <w:szCs w:val="21"/>
              </w:rPr>
            </w:pPr>
          </w:p>
        </w:tc>
      </w:tr>
      <w:tr w14:paraId="376BBADE">
        <w:tblPrEx>
          <w:tblCellMar>
            <w:top w:w="0" w:type="dxa"/>
            <w:left w:w="108" w:type="dxa"/>
            <w:bottom w:w="0" w:type="dxa"/>
            <w:right w:w="108" w:type="dxa"/>
          </w:tblCellMar>
        </w:tblPrEx>
        <w:trPr>
          <w:trHeight w:val="557"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82C7F">
            <w:pPr>
              <w:jc w:val="center"/>
              <w:rPr>
                <w:rFonts w:ascii="Arial" w:hAnsi="Arial" w:eastAsia="宋体" w:cs="Arial"/>
                <w:color w:val="auto"/>
                <w:sz w:val="21"/>
                <w:szCs w:val="21"/>
              </w:rPr>
            </w:pP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31D08">
            <w:pPr>
              <w:jc w:val="center"/>
              <w:rPr>
                <w:rFonts w:ascii="Arial" w:hAnsi="Arial" w:eastAsia="宋体" w:cs="Arial"/>
                <w:color w:val="auto"/>
                <w:sz w:val="21"/>
                <w:szCs w:val="21"/>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15978">
            <w:pPr>
              <w:jc w:val="center"/>
              <w:rPr>
                <w:rFonts w:ascii="Arial" w:hAnsi="Arial" w:eastAsia="宋体" w:cs="Arial"/>
                <w:color w:val="auto"/>
                <w:sz w:val="21"/>
                <w:szCs w:val="21"/>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5EA8D">
            <w:pPr>
              <w:jc w:val="center"/>
              <w:rPr>
                <w:rFonts w:ascii="Arial" w:hAnsi="Arial" w:eastAsia="宋体" w:cs="Arial"/>
                <w:color w:val="auto"/>
                <w:sz w:val="21"/>
                <w:szCs w:val="21"/>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0FCC9">
            <w:pPr>
              <w:jc w:val="center"/>
              <w:rPr>
                <w:rFonts w:ascii="Arial" w:hAnsi="Arial" w:eastAsia="宋体" w:cs="Arial"/>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8025E">
            <w:pPr>
              <w:jc w:val="center"/>
              <w:rPr>
                <w:rFonts w:ascii="Arial" w:hAnsi="Arial" w:eastAsia="宋体" w:cs="Arial"/>
                <w:color w:val="auto"/>
                <w:sz w:val="21"/>
                <w:szCs w:val="21"/>
              </w:rPr>
            </w:pPr>
          </w:p>
        </w:tc>
      </w:tr>
      <w:tr w14:paraId="78C2E5E4">
        <w:tblPrEx>
          <w:tblCellMar>
            <w:top w:w="0" w:type="dxa"/>
            <w:left w:w="108" w:type="dxa"/>
            <w:bottom w:w="0" w:type="dxa"/>
            <w:right w:w="108" w:type="dxa"/>
          </w:tblCellMar>
        </w:tblPrEx>
        <w:trPr>
          <w:trHeight w:val="557"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41B8D">
            <w:pPr>
              <w:jc w:val="center"/>
              <w:rPr>
                <w:rFonts w:ascii="Arial" w:hAnsi="Arial" w:eastAsia="宋体" w:cs="Arial"/>
                <w:color w:val="auto"/>
                <w:sz w:val="21"/>
                <w:szCs w:val="21"/>
              </w:rPr>
            </w:pP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37FFD">
            <w:pPr>
              <w:jc w:val="center"/>
              <w:rPr>
                <w:rFonts w:ascii="Arial" w:hAnsi="Arial" w:eastAsia="宋体" w:cs="Arial"/>
                <w:color w:val="auto"/>
                <w:sz w:val="21"/>
                <w:szCs w:val="21"/>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28155">
            <w:pPr>
              <w:jc w:val="center"/>
              <w:rPr>
                <w:rFonts w:ascii="Arial" w:hAnsi="Arial" w:eastAsia="宋体" w:cs="Arial"/>
                <w:color w:val="auto"/>
                <w:sz w:val="21"/>
                <w:szCs w:val="21"/>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4384E">
            <w:pPr>
              <w:jc w:val="center"/>
              <w:rPr>
                <w:rFonts w:ascii="Arial" w:hAnsi="Arial" w:eastAsia="宋体" w:cs="Arial"/>
                <w:color w:val="auto"/>
                <w:sz w:val="21"/>
                <w:szCs w:val="21"/>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B935E">
            <w:pPr>
              <w:jc w:val="center"/>
              <w:rPr>
                <w:rFonts w:ascii="Arial" w:hAnsi="Arial" w:eastAsia="宋体" w:cs="Arial"/>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60C86">
            <w:pPr>
              <w:jc w:val="center"/>
              <w:rPr>
                <w:rFonts w:ascii="Arial" w:hAnsi="Arial" w:eastAsia="宋体" w:cs="Arial"/>
                <w:color w:val="auto"/>
                <w:sz w:val="21"/>
                <w:szCs w:val="21"/>
              </w:rPr>
            </w:pPr>
          </w:p>
        </w:tc>
      </w:tr>
      <w:tr w14:paraId="618775F9">
        <w:tblPrEx>
          <w:tblCellMar>
            <w:top w:w="0" w:type="dxa"/>
            <w:left w:w="108" w:type="dxa"/>
            <w:bottom w:w="0" w:type="dxa"/>
            <w:right w:w="108" w:type="dxa"/>
          </w:tblCellMar>
        </w:tblPrEx>
        <w:trPr>
          <w:trHeight w:val="557"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574CD">
            <w:pPr>
              <w:jc w:val="center"/>
              <w:rPr>
                <w:rFonts w:ascii="Arial" w:hAnsi="Arial" w:eastAsia="宋体" w:cs="Arial"/>
                <w:color w:val="auto"/>
                <w:sz w:val="21"/>
                <w:szCs w:val="21"/>
              </w:rPr>
            </w:pP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5E14B">
            <w:pPr>
              <w:jc w:val="center"/>
              <w:rPr>
                <w:rFonts w:ascii="Arial" w:hAnsi="Arial" w:eastAsia="宋体" w:cs="Arial"/>
                <w:color w:val="auto"/>
                <w:sz w:val="21"/>
                <w:szCs w:val="21"/>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E5763">
            <w:pPr>
              <w:jc w:val="center"/>
              <w:rPr>
                <w:rFonts w:ascii="Arial" w:hAnsi="Arial" w:eastAsia="宋体" w:cs="Arial"/>
                <w:color w:val="auto"/>
                <w:sz w:val="21"/>
                <w:szCs w:val="21"/>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59149">
            <w:pPr>
              <w:jc w:val="center"/>
              <w:rPr>
                <w:rFonts w:ascii="Arial" w:hAnsi="Arial" w:eastAsia="宋体" w:cs="Arial"/>
                <w:color w:val="auto"/>
                <w:sz w:val="21"/>
                <w:szCs w:val="21"/>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CBADC">
            <w:pPr>
              <w:jc w:val="center"/>
              <w:rPr>
                <w:rFonts w:ascii="Arial" w:hAnsi="Arial" w:eastAsia="宋体" w:cs="Arial"/>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C8614">
            <w:pPr>
              <w:jc w:val="center"/>
              <w:rPr>
                <w:rFonts w:ascii="Arial" w:hAnsi="Arial" w:eastAsia="宋体" w:cs="Arial"/>
                <w:color w:val="auto"/>
                <w:sz w:val="21"/>
                <w:szCs w:val="21"/>
              </w:rPr>
            </w:pPr>
          </w:p>
        </w:tc>
      </w:tr>
      <w:tr w14:paraId="4C267DCE">
        <w:tblPrEx>
          <w:tblCellMar>
            <w:top w:w="0" w:type="dxa"/>
            <w:left w:w="108" w:type="dxa"/>
            <w:bottom w:w="0" w:type="dxa"/>
            <w:right w:w="108" w:type="dxa"/>
          </w:tblCellMar>
        </w:tblPrEx>
        <w:trPr>
          <w:trHeight w:val="557"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18423">
            <w:pPr>
              <w:jc w:val="center"/>
              <w:rPr>
                <w:rFonts w:ascii="Arial" w:hAnsi="Arial" w:eastAsia="宋体" w:cs="Arial"/>
                <w:color w:val="auto"/>
                <w:sz w:val="21"/>
                <w:szCs w:val="21"/>
              </w:rPr>
            </w:pP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AC80C">
            <w:pPr>
              <w:jc w:val="center"/>
              <w:rPr>
                <w:rFonts w:ascii="Arial" w:hAnsi="Arial" w:eastAsia="宋体" w:cs="Arial"/>
                <w:color w:val="auto"/>
                <w:sz w:val="21"/>
                <w:szCs w:val="21"/>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A3E60">
            <w:pPr>
              <w:jc w:val="center"/>
              <w:rPr>
                <w:rFonts w:ascii="Arial" w:hAnsi="Arial" w:eastAsia="宋体" w:cs="Arial"/>
                <w:color w:val="auto"/>
                <w:sz w:val="21"/>
                <w:szCs w:val="21"/>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78017">
            <w:pPr>
              <w:jc w:val="center"/>
              <w:rPr>
                <w:rFonts w:ascii="Arial" w:hAnsi="Arial" w:eastAsia="宋体" w:cs="Arial"/>
                <w:color w:val="auto"/>
                <w:sz w:val="21"/>
                <w:szCs w:val="21"/>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32956">
            <w:pPr>
              <w:jc w:val="center"/>
              <w:rPr>
                <w:rFonts w:ascii="Arial" w:hAnsi="Arial" w:eastAsia="宋体" w:cs="Arial"/>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8975A">
            <w:pPr>
              <w:jc w:val="center"/>
              <w:rPr>
                <w:rFonts w:hint="eastAsia" w:ascii="宋体" w:hAnsi="宋体" w:eastAsia="宋体" w:cs="宋体"/>
                <w:color w:val="auto"/>
                <w:sz w:val="22"/>
                <w:szCs w:val="22"/>
              </w:rPr>
            </w:pPr>
          </w:p>
        </w:tc>
      </w:tr>
      <w:tr w14:paraId="7F0B9DA6">
        <w:tblPrEx>
          <w:tblCellMar>
            <w:top w:w="0" w:type="dxa"/>
            <w:left w:w="108" w:type="dxa"/>
            <w:bottom w:w="0" w:type="dxa"/>
            <w:right w:w="108" w:type="dxa"/>
          </w:tblCellMar>
        </w:tblPrEx>
        <w:trPr>
          <w:trHeight w:val="557"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34E1E">
            <w:pPr>
              <w:jc w:val="center"/>
              <w:rPr>
                <w:rFonts w:ascii="Arial" w:hAnsi="Arial" w:eastAsia="宋体" w:cs="Arial"/>
                <w:color w:val="auto"/>
                <w:sz w:val="21"/>
                <w:szCs w:val="21"/>
              </w:rPr>
            </w:pP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D4EDB">
            <w:pPr>
              <w:jc w:val="center"/>
              <w:rPr>
                <w:rFonts w:ascii="Arial" w:hAnsi="Arial" w:eastAsia="宋体" w:cs="Arial"/>
                <w:color w:val="auto"/>
                <w:sz w:val="21"/>
                <w:szCs w:val="21"/>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17ED2">
            <w:pPr>
              <w:jc w:val="center"/>
              <w:rPr>
                <w:rFonts w:ascii="Arial" w:hAnsi="Arial" w:eastAsia="宋体" w:cs="Arial"/>
                <w:color w:val="auto"/>
                <w:sz w:val="21"/>
                <w:szCs w:val="21"/>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16993">
            <w:pPr>
              <w:jc w:val="center"/>
              <w:rPr>
                <w:rFonts w:ascii="Arial" w:hAnsi="Arial" w:eastAsia="宋体" w:cs="Arial"/>
                <w:color w:val="auto"/>
                <w:sz w:val="21"/>
                <w:szCs w:val="21"/>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76E2A">
            <w:pPr>
              <w:jc w:val="center"/>
              <w:rPr>
                <w:rFonts w:ascii="Arial" w:hAnsi="Arial" w:eastAsia="宋体" w:cs="Arial"/>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5BB4E">
            <w:pPr>
              <w:jc w:val="center"/>
              <w:rPr>
                <w:rFonts w:ascii="Arial" w:hAnsi="Arial" w:eastAsia="宋体" w:cs="Arial"/>
                <w:color w:val="auto"/>
                <w:sz w:val="21"/>
                <w:szCs w:val="21"/>
              </w:rPr>
            </w:pPr>
          </w:p>
        </w:tc>
      </w:tr>
      <w:tr w14:paraId="0D246B8B">
        <w:tblPrEx>
          <w:tblCellMar>
            <w:top w:w="0" w:type="dxa"/>
            <w:left w:w="108" w:type="dxa"/>
            <w:bottom w:w="0" w:type="dxa"/>
            <w:right w:w="108" w:type="dxa"/>
          </w:tblCellMar>
        </w:tblPrEx>
        <w:trPr>
          <w:trHeight w:val="557"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6AF38">
            <w:pPr>
              <w:jc w:val="center"/>
              <w:rPr>
                <w:rFonts w:ascii="Arial" w:hAnsi="Arial" w:eastAsia="宋体" w:cs="Arial"/>
                <w:color w:val="auto"/>
                <w:sz w:val="21"/>
                <w:szCs w:val="21"/>
              </w:rPr>
            </w:pP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7D109">
            <w:pPr>
              <w:jc w:val="center"/>
              <w:rPr>
                <w:rFonts w:ascii="Arial" w:hAnsi="Arial" w:eastAsia="宋体" w:cs="Arial"/>
                <w:color w:val="auto"/>
                <w:sz w:val="21"/>
                <w:szCs w:val="21"/>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02D00">
            <w:pPr>
              <w:jc w:val="center"/>
              <w:rPr>
                <w:rFonts w:ascii="Arial" w:hAnsi="Arial" w:eastAsia="宋体" w:cs="Arial"/>
                <w:color w:val="auto"/>
                <w:sz w:val="21"/>
                <w:szCs w:val="21"/>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55077">
            <w:pPr>
              <w:jc w:val="center"/>
              <w:rPr>
                <w:rFonts w:ascii="Arial" w:hAnsi="Arial" w:eastAsia="宋体" w:cs="Arial"/>
                <w:color w:val="auto"/>
                <w:sz w:val="21"/>
                <w:szCs w:val="21"/>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F9C6D">
            <w:pPr>
              <w:jc w:val="center"/>
              <w:rPr>
                <w:rFonts w:ascii="Arial" w:hAnsi="Arial" w:eastAsia="宋体" w:cs="Arial"/>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B9B61">
            <w:pPr>
              <w:jc w:val="center"/>
              <w:rPr>
                <w:rFonts w:ascii="Arial" w:hAnsi="Arial" w:eastAsia="宋体" w:cs="Arial"/>
                <w:color w:val="auto"/>
                <w:sz w:val="21"/>
                <w:szCs w:val="21"/>
              </w:rPr>
            </w:pPr>
          </w:p>
        </w:tc>
      </w:tr>
      <w:tr w14:paraId="07F438A9">
        <w:tblPrEx>
          <w:tblCellMar>
            <w:top w:w="0" w:type="dxa"/>
            <w:left w:w="108" w:type="dxa"/>
            <w:bottom w:w="0" w:type="dxa"/>
            <w:right w:w="108" w:type="dxa"/>
          </w:tblCellMar>
        </w:tblPrEx>
        <w:trPr>
          <w:trHeight w:val="557"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1F011">
            <w:pPr>
              <w:jc w:val="center"/>
              <w:rPr>
                <w:rFonts w:ascii="Arial" w:hAnsi="Arial" w:eastAsia="宋体" w:cs="Arial"/>
                <w:color w:val="auto"/>
                <w:sz w:val="21"/>
                <w:szCs w:val="21"/>
              </w:rPr>
            </w:pP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ED84F">
            <w:pPr>
              <w:jc w:val="center"/>
              <w:rPr>
                <w:rFonts w:ascii="Arial" w:hAnsi="Arial" w:eastAsia="宋体" w:cs="Arial"/>
                <w:color w:val="auto"/>
                <w:sz w:val="21"/>
                <w:szCs w:val="21"/>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11494">
            <w:pPr>
              <w:jc w:val="center"/>
              <w:rPr>
                <w:rFonts w:ascii="Arial" w:hAnsi="Arial" w:eastAsia="宋体" w:cs="Arial"/>
                <w:color w:val="auto"/>
                <w:sz w:val="21"/>
                <w:szCs w:val="21"/>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40DCB">
            <w:pPr>
              <w:jc w:val="center"/>
              <w:rPr>
                <w:rFonts w:ascii="Arial" w:hAnsi="Arial" w:eastAsia="宋体" w:cs="Arial"/>
                <w:color w:val="auto"/>
                <w:sz w:val="21"/>
                <w:szCs w:val="21"/>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33553">
            <w:pPr>
              <w:jc w:val="center"/>
              <w:rPr>
                <w:rFonts w:ascii="Arial" w:hAnsi="Arial" w:eastAsia="宋体" w:cs="Arial"/>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F0587">
            <w:pPr>
              <w:jc w:val="center"/>
              <w:rPr>
                <w:rFonts w:ascii="Arial" w:hAnsi="Arial" w:eastAsia="宋体" w:cs="Arial"/>
                <w:color w:val="auto"/>
                <w:sz w:val="21"/>
                <w:szCs w:val="21"/>
              </w:rPr>
            </w:pPr>
          </w:p>
        </w:tc>
      </w:tr>
      <w:tr w14:paraId="3CAD08A6">
        <w:tblPrEx>
          <w:tblCellMar>
            <w:top w:w="0" w:type="dxa"/>
            <w:left w:w="108" w:type="dxa"/>
            <w:bottom w:w="0" w:type="dxa"/>
            <w:right w:w="108" w:type="dxa"/>
          </w:tblCellMar>
        </w:tblPrEx>
        <w:trPr>
          <w:trHeight w:val="557"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3524A">
            <w:pPr>
              <w:jc w:val="center"/>
              <w:rPr>
                <w:rFonts w:ascii="Arial" w:hAnsi="Arial" w:eastAsia="宋体" w:cs="Arial"/>
                <w:color w:val="auto"/>
                <w:sz w:val="21"/>
                <w:szCs w:val="21"/>
              </w:rPr>
            </w:pP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BCDD1">
            <w:pPr>
              <w:jc w:val="center"/>
              <w:rPr>
                <w:rFonts w:ascii="Arial" w:hAnsi="Arial" w:eastAsia="宋体" w:cs="Arial"/>
                <w:color w:val="auto"/>
                <w:sz w:val="21"/>
                <w:szCs w:val="21"/>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1AB04">
            <w:pPr>
              <w:jc w:val="center"/>
              <w:rPr>
                <w:rFonts w:ascii="Arial" w:hAnsi="Arial" w:eastAsia="宋体" w:cs="Arial"/>
                <w:color w:val="auto"/>
                <w:sz w:val="21"/>
                <w:szCs w:val="21"/>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5599A">
            <w:pPr>
              <w:jc w:val="center"/>
              <w:rPr>
                <w:rFonts w:ascii="Arial" w:hAnsi="Arial" w:eastAsia="宋体" w:cs="Arial"/>
                <w:color w:val="auto"/>
                <w:sz w:val="21"/>
                <w:szCs w:val="21"/>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2327A">
            <w:pPr>
              <w:jc w:val="center"/>
              <w:rPr>
                <w:rFonts w:ascii="Arial" w:hAnsi="Arial" w:eastAsia="宋体" w:cs="Arial"/>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92E5C">
            <w:pPr>
              <w:jc w:val="center"/>
              <w:rPr>
                <w:rFonts w:ascii="Arial" w:hAnsi="Arial" w:eastAsia="宋体" w:cs="Arial"/>
                <w:color w:val="auto"/>
                <w:sz w:val="21"/>
                <w:szCs w:val="21"/>
              </w:rPr>
            </w:pPr>
          </w:p>
        </w:tc>
      </w:tr>
      <w:tr w14:paraId="27B7F941">
        <w:tblPrEx>
          <w:tblCellMar>
            <w:top w:w="0" w:type="dxa"/>
            <w:left w:w="108" w:type="dxa"/>
            <w:bottom w:w="0" w:type="dxa"/>
            <w:right w:w="108" w:type="dxa"/>
          </w:tblCellMar>
        </w:tblPrEx>
        <w:trPr>
          <w:trHeight w:val="587"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BC16B">
            <w:pPr>
              <w:jc w:val="center"/>
              <w:rPr>
                <w:rFonts w:ascii="Arial" w:hAnsi="Arial" w:eastAsia="宋体" w:cs="Arial"/>
                <w:color w:val="auto"/>
                <w:sz w:val="21"/>
                <w:szCs w:val="21"/>
              </w:rPr>
            </w:pP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1D4BA">
            <w:pPr>
              <w:jc w:val="center"/>
              <w:rPr>
                <w:rFonts w:ascii="Arial" w:hAnsi="Arial" w:eastAsia="宋体" w:cs="Arial"/>
                <w:color w:val="auto"/>
                <w:sz w:val="21"/>
                <w:szCs w:val="21"/>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68657">
            <w:pPr>
              <w:jc w:val="center"/>
              <w:rPr>
                <w:rFonts w:ascii="Arial" w:hAnsi="Arial" w:eastAsia="宋体" w:cs="Arial"/>
                <w:color w:val="auto"/>
                <w:sz w:val="21"/>
                <w:szCs w:val="21"/>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BC56C">
            <w:pPr>
              <w:jc w:val="center"/>
              <w:rPr>
                <w:rFonts w:ascii="Arial" w:hAnsi="Arial" w:eastAsia="宋体" w:cs="Arial"/>
                <w:color w:val="auto"/>
                <w:sz w:val="21"/>
                <w:szCs w:val="21"/>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DFC62">
            <w:pPr>
              <w:jc w:val="center"/>
              <w:rPr>
                <w:rFonts w:ascii="Arial" w:hAnsi="Arial" w:eastAsia="宋体" w:cs="Arial"/>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0D0AA">
            <w:pPr>
              <w:jc w:val="center"/>
              <w:rPr>
                <w:rFonts w:hint="eastAsia" w:ascii="宋体" w:hAnsi="宋体" w:eastAsia="宋体" w:cs="宋体"/>
                <w:color w:val="auto"/>
                <w:sz w:val="22"/>
                <w:szCs w:val="22"/>
              </w:rPr>
            </w:pPr>
          </w:p>
        </w:tc>
      </w:tr>
    </w:tbl>
    <w:p w14:paraId="469CFD97">
      <w:pPr>
        <w:pStyle w:val="3"/>
        <w:spacing w:before="241" w:line="216" w:lineRule="auto"/>
        <w:ind w:firstLine="0" w:firstLineChars="0"/>
        <w:rPr>
          <w:rFonts w:hint="eastAsia" w:ascii="仿宋" w:hAnsi="仿宋" w:eastAsia="仿宋" w:cs="仿宋"/>
          <w:color w:val="auto"/>
          <w:lang w:eastAsia="zh-CN"/>
        </w:rPr>
      </w:pPr>
      <w:r>
        <w:rPr>
          <w:rFonts w:hint="eastAsia" w:ascii="仿宋" w:hAnsi="仿宋" w:eastAsia="仿宋" w:cs="仿宋"/>
          <w:color w:val="auto"/>
          <w:spacing w:val="5"/>
          <w:lang w:eastAsia="zh-CN"/>
        </w:rPr>
        <w:t>备注：本表仅填报无接种史、有接种意愿者</w:t>
      </w:r>
    </w:p>
    <w:p w14:paraId="00EEB126">
      <w:pPr>
        <w:pStyle w:val="3"/>
        <w:spacing w:before="241" w:line="216" w:lineRule="auto"/>
        <w:ind w:firstLine="0" w:firstLineChars="0"/>
        <w:rPr>
          <w:rFonts w:hint="eastAsia" w:ascii="仿宋" w:hAnsi="仿宋" w:eastAsia="仿宋" w:cs="仿宋"/>
          <w:color w:val="auto"/>
          <w:spacing w:val="5"/>
          <w:u w:val="single"/>
          <w:lang w:eastAsia="zh-CN"/>
        </w:rPr>
      </w:pPr>
      <w:r>
        <w:rPr>
          <w:rFonts w:hint="eastAsia" w:ascii="仿宋" w:hAnsi="仿宋" w:eastAsia="仿宋" w:cs="仿宋"/>
          <w:color w:val="auto"/>
          <w:spacing w:val="5"/>
          <w:lang w:eastAsia="zh-CN"/>
        </w:rPr>
        <w:t>填表人：           联系电话：            填表日期：</w:t>
      </w:r>
      <w:r>
        <w:rPr>
          <w:rFonts w:hint="eastAsia" w:ascii="仿宋" w:hAnsi="仿宋" w:eastAsia="仿宋" w:cs="仿宋"/>
          <w:color w:val="auto"/>
          <w:spacing w:val="5"/>
          <w:u w:val="single"/>
          <w:lang w:eastAsia="zh-CN"/>
        </w:rPr>
        <w:t xml:space="preserve">           </w:t>
      </w:r>
    </w:p>
    <w:p w14:paraId="1CE9819F">
      <w:pPr>
        <w:widowControl w:val="0"/>
        <w:spacing w:line="20" w:lineRule="exact"/>
        <w:rPr>
          <w:rFonts w:hint="eastAsia" w:ascii="仿宋" w:hAnsi="仿宋" w:eastAsia="仿宋" w:cs="仿宋"/>
          <w:color w:val="auto"/>
          <w:sz w:val="32"/>
          <w:szCs w:val="32"/>
          <w:lang w:eastAsia="zh-CN"/>
        </w:rPr>
      </w:pPr>
      <w:bookmarkStart w:id="1" w:name="_GoBack"/>
      <w:bookmarkEnd w:id="1"/>
    </w:p>
    <w:sectPr>
      <w:footerReference r:id="rId4" w:type="default"/>
      <w:pgSz w:w="11850" w:h="16783"/>
      <w:pgMar w:top="2041" w:right="1531" w:bottom="1587" w:left="1531" w:header="720" w:footer="1191" w:gutter="0"/>
      <w:cols w:space="0" w:num="1"/>
      <w:titlePg/>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CE842D04-BB6B-4DEF-96CA-6E2B86D7B2E2}"/>
  </w:font>
  <w:font w:name="宋体">
    <w:panose1 w:val="02010600030101010101"/>
    <w:charset w:val="86"/>
    <w:family w:val="auto"/>
    <w:pitch w:val="default"/>
    <w:sig w:usb0="00000203" w:usb1="288F0000" w:usb2="00000006" w:usb3="00000000" w:csb0="00040001" w:csb1="00000000"/>
    <w:embedRegular r:id="rId2" w:fontKey="{CBCAF1B8-D974-4BBE-A2A8-A518C9C7FF3B}"/>
  </w:font>
  <w:font w:name="Wingdings">
    <w:panose1 w:val="05000000000000000000"/>
    <w:charset w:val="02"/>
    <w:family w:val="auto"/>
    <w:pitch w:val="default"/>
    <w:sig w:usb0="00000000" w:usb1="00000000" w:usb2="00000000" w:usb3="00000000" w:csb0="80000000" w:csb1="00000000"/>
    <w:embedRegular r:id="rId3" w:fontKey="{DD7B009A-92B2-4F1E-89FD-D13554D342E6}"/>
  </w:font>
  <w:font w:name="Arial">
    <w:panose1 w:val="020B0604020202020204"/>
    <w:charset w:val="01"/>
    <w:family w:val="swiss"/>
    <w:pitch w:val="default"/>
    <w:sig w:usb0="00007A87" w:usb1="80000000" w:usb2="00000008" w:usb3="00000000" w:csb0="400001FF" w:csb1="FFFF0000"/>
    <w:embedRegular r:id="rId4" w:fontKey="{38687568-5EB5-4F19-AEF8-8E7F62E7767E}"/>
  </w:font>
  <w:font w:name="黑体">
    <w:panose1 w:val="02010609060101010101"/>
    <w:charset w:val="86"/>
    <w:family w:val="auto"/>
    <w:pitch w:val="default"/>
    <w:sig w:usb0="800002BF" w:usb1="38CF7CFA" w:usb2="00000016" w:usb3="00000000" w:csb0="00040001" w:csb1="00000000"/>
    <w:embedRegular r:id="rId5" w:fontKey="{1FDA549D-7B04-4256-8387-2516D721FAAA}"/>
  </w:font>
  <w:font w:name="Courier New">
    <w:panose1 w:val="02070309020205020404"/>
    <w:charset w:val="01"/>
    <w:family w:val="modern"/>
    <w:pitch w:val="default"/>
    <w:sig w:usb0="00007A87" w:usb1="80000000" w:usb2="00000008" w:usb3="00000000" w:csb0="400001FF" w:csb1="FFFF0000"/>
    <w:embedRegular r:id="rId6" w:fontKey="{F4A8CF1D-A1A0-401A-910A-EC93EBC4FBA5}"/>
  </w:font>
  <w:font w:name="Symbol">
    <w:panose1 w:val="05050102010706020507"/>
    <w:charset w:val="02"/>
    <w:family w:val="roman"/>
    <w:pitch w:val="default"/>
    <w:sig w:usb0="00000000" w:usb1="00000000" w:usb2="00000000" w:usb3="00000000" w:csb0="80000000" w:csb1="00000000"/>
    <w:embedRegular r:id="rId7" w:fontKey="{05F59514-0846-4EBB-803D-BA8B486E5346}"/>
  </w:font>
  <w:font w:name="Calibri">
    <w:panose1 w:val="020F0502020204030204"/>
    <w:charset w:val="00"/>
    <w:family w:val="swiss"/>
    <w:pitch w:val="default"/>
    <w:sig w:usb0="E4002EFF" w:usb1="C000247B" w:usb2="00000009" w:usb3="00000000" w:csb0="200001FF" w:csb1="00000000"/>
    <w:embedRegular r:id="rId8" w:fontKey="{54F53818-8E17-4436-9E48-47920523DE89}"/>
  </w:font>
  <w:font w:name="微软雅黑">
    <w:panose1 w:val="020B0503020204020204"/>
    <w:charset w:val="86"/>
    <w:family w:val="swiss"/>
    <w:pitch w:val="default"/>
    <w:sig w:usb0="80000287" w:usb1="2ACF3C50" w:usb2="00000016" w:usb3="00000000" w:csb0="0004001F" w:csb1="00000000"/>
    <w:embedRegular r:id="rId9" w:fontKey="{68E74B2A-8A7C-46F1-9119-7981ADCB9584}"/>
  </w:font>
  <w:font w:name="Cambria">
    <w:panose1 w:val="02040503050406030204"/>
    <w:charset w:val="00"/>
    <w:family w:val="roman"/>
    <w:pitch w:val="default"/>
    <w:sig w:usb0="E00006FF" w:usb1="420024FF" w:usb2="02000000" w:usb3="00000000" w:csb0="2000019F" w:csb1="00000000"/>
    <w:embedRegular r:id="rId10" w:fontKey="{44EFFB54-467A-4BC0-A047-0A974C6235C8}"/>
  </w:font>
  <w:font w:name="Consolas">
    <w:panose1 w:val="020B0609020204030204"/>
    <w:charset w:val="00"/>
    <w:family w:val="modern"/>
    <w:pitch w:val="default"/>
    <w:sig w:usb0="E00006FF" w:usb1="0000FCFF" w:usb2="00000001" w:usb3="00000000" w:csb0="6000019F" w:csb1="DFD70000"/>
    <w:embedRegular r:id="rId11" w:fontKey="{018BA578-C79E-4051-BB91-E86C2A7F26DF}"/>
  </w:font>
  <w:font w:name="方正小标宋_GBK">
    <w:panose1 w:val="03000509000000000000"/>
    <w:charset w:val="86"/>
    <w:family w:val="script"/>
    <w:pitch w:val="default"/>
    <w:sig w:usb0="00000001" w:usb1="080E0000" w:usb2="00000000" w:usb3="00000000" w:csb0="00040000" w:csb1="00000000"/>
    <w:embedRegular r:id="rId12" w:fontKey="{CB2C077E-3122-4DAA-AED2-14BB9E3991D4}"/>
  </w:font>
  <w:font w:name="仿宋">
    <w:panose1 w:val="02010609060101010101"/>
    <w:charset w:val="86"/>
    <w:family w:val="modern"/>
    <w:pitch w:val="default"/>
    <w:sig w:usb0="800002BF" w:usb1="38CF7CFA" w:usb2="00000016" w:usb3="00000000" w:csb0="00040001" w:csb1="00000000"/>
    <w:embedRegular r:id="rId13" w:fontKey="{C121F9B4-A07C-4249-8CC0-0E39525A690B}"/>
  </w:font>
  <w:font w:name="仿宋_GB2312">
    <w:panose1 w:val="02010609030101010101"/>
    <w:charset w:val="86"/>
    <w:family w:val="modern"/>
    <w:pitch w:val="default"/>
    <w:sig w:usb0="00000001" w:usb1="080E0000" w:usb2="00000000" w:usb3="00000000" w:csb0="00040000" w:csb1="00000000"/>
    <w:embedRegular r:id="rId14" w:fontKey="{C2B54457-DB83-41AD-83DF-DD60E62E2162}"/>
  </w:font>
  <w:font w:name="楷体_GB2312">
    <w:panose1 w:val="02010609030101010101"/>
    <w:charset w:val="86"/>
    <w:family w:val="modern"/>
    <w:pitch w:val="default"/>
    <w:sig w:usb0="00000001" w:usb1="080E0000" w:usb2="00000000" w:usb3="00000000" w:csb0="00040000" w:csb1="00000000"/>
    <w:embedRegular r:id="rId15" w:fontKey="{84F3F92D-7D61-4247-B888-AE001F4DC9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D99BB">
    <w:pPr>
      <w:pStyle w:val="16"/>
      <w:spacing w:after="0"/>
      <w:rPr>
        <w:rFonts w:hint="eastAsia"/>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00D077">
                          <w:pPr>
                            <w:pStyle w:val="16"/>
                            <w:spacing w:after="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ascii="Times New Roman" w:hAnsi="Times New Roman" w:cs="Times New Roman" w:eastAsiaTheme="majorEastAsia"/>
                              <w:sz w:val="28"/>
                              <w:szCs w:val="28"/>
                            </w:rPr>
                            <w:fldChar w:fldCharType="begin"/>
                          </w:r>
                          <w:r>
                            <w:rPr>
                              <w:rFonts w:ascii="Times New Roman" w:hAnsi="Times New Roman" w:cs="Times New Roman" w:eastAsiaTheme="majorEastAsia"/>
                              <w:sz w:val="28"/>
                              <w:szCs w:val="28"/>
                            </w:rPr>
                            <w:instrText xml:space="preserve"> PAGE  \* MERGEFORMAT </w:instrText>
                          </w:r>
                          <w:r>
                            <w:rPr>
                              <w:rFonts w:ascii="Times New Roman" w:hAnsi="Times New Roman" w:cs="Times New Roman" w:eastAsiaTheme="majorEastAsia"/>
                              <w:sz w:val="28"/>
                              <w:szCs w:val="28"/>
                            </w:rPr>
                            <w:fldChar w:fldCharType="separate"/>
                          </w:r>
                          <w:r>
                            <w:rPr>
                              <w:rFonts w:ascii="Times New Roman" w:hAnsi="Times New Roman" w:cs="Times New Roman" w:eastAsiaTheme="majorEastAsia"/>
                              <w:sz w:val="28"/>
                              <w:szCs w:val="28"/>
                            </w:rPr>
                            <w:t>1</w:t>
                          </w:r>
                          <w:r>
                            <w:rPr>
                              <w:rFonts w:ascii="Times New Roman" w:hAnsi="Times New Roman" w:cs="Times New Roman" w:eastAsia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2700D077">
                    <w:pPr>
                      <w:pStyle w:val="16"/>
                      <w:spacing w:after="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ascii="Times New Roman" w:hAnsi="Times New Roman" w:cs="Times New Roman" w:eastAsiaTheme="majorEastAsia"/>
                        <w:sz w:val="28"/>
                        <w:szCs w:val="28"/>
                      </w:rPr>
                      <w:fldChar w:fldCharType="begin"/>
                    </w:r>
                    <w:r>
                      <w:rPr>
                        <w:rFonts w:ascii="Times New Roman" w:hAnsi="Times New Roman" w:cs="Times New Roman" w:eastAsiaTheme="majorEastAsia"/>
                        <w:sz w:val="28"/>
                        <w:szCs w:val="28"/>
                      </w:rPr>
                      <w:instrText xml:space="preserve"> PAGE  \* MERGEFORMAT </w:instrText>
                    </w:r>
                    <w:r>
                      <w:rPr>
                        <w:rFonts w:ascii="Times New Roman" w:hAnsi="Times New Roman" w:cs="Times New Roman" w:eastAsiaTheme="majorEastAsia"/>
                        <w:sz w:val="28"/>
                        <w:szCs w:val="28"/>
                      </w:rPr>
                      <w:fldChar w:fldCharType="separate"/>
                    </w:r>
                    <w:r>
                      <w:rPr>
                        <w:rFonts w:ascii="Times New Roman" w:hAnsi="Times New Roman" w:cs="Times New Roman" w:eastAsiaTheme="majorEastAsia"/>
                        <w:sz w:val="28"/>
                        <w:szCs w:val="28"/>
                      </w:rPr>
                      <w:t>1</w:t>
                    </w:r>
                    <w:r>
                      <w:rPr>
                        <w:rFonts w:ascii="Times New Roman" w:hAnsi="Times New Roman" w:cs="Times New Roman" w:eastAsia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AA8454"/>
    <w:multiLevelType w:val="multilevel"/>
    <w:tmpl w:val="29AA8454"/>
    <w:lvl w:ilvl="0" w:tentative="0">
      <w:start w:val="1"/>
      <w:numFmt w:val="chineseCounting"/>
      <w:suff w:val="nothing"/>
      <w:lvlText w:val="%1、"/>
      <w:lvlJc w:val="left"/>
      <w:pPr>
        <w:tabs>
          <w:tab w:val="left" w:pos="0"/>
        </w:tabs>
        <w:ind w:left="0" w:firstLine="0"/>
      </w:pPr>
      <w:rPr>
        <w:rFonts w:hint="eastAsia" w:ascii="黑体" w:hAnsi="黑体" w:eastAsia="黑体"/>
      </w:rPr>
    </w:lvl>
    <w:lvl w:ilvl="1" w:tentative="0">
      <w:start w:val="1"/>
      <w:numFmt w:val="chineseCounting"/>
      <w:pStyle w:val="4"/>
      <w:suff w:val="nothing"/>
      <w:lvlText w:val="（%2）"/>
      <w:lvlJc w:val="left"/>
      <w:pPr>
        <w:tabs>
          <w:tab w:val="left" w:pos="0"/>
        </w:tabs>
        <w:ind w:left="0" w:firstLine="0"/>
      </w:pPr>
      <w:rPr>
        <w:rFonts w:hint="eastAsia" w:ascii="黑体" w:hAnsi="黑体" w:eastAsia="黑体"/>
      </w:rPr>
    </w:lvl>
    <w:lvl w:ilvl="2" w:tentative="0">
      <w:start w:val="1"/>
      <w:numFmt w:val="decimal"/>
      <w:pStyle w:val="5"/>
      <w:suff w:val="nothing"/>
      <w:lvlText w:val="%3．"/>
      <w:lvlJc w:val="left"/>
      <w:pPr>
        <w:tabs>
          <w:tab w:val="left" w:pos="0"/>
        </w:tabs>
        <w:ind w:left="0" w:firstLine="400"/>
      </w:pPr>
      <w:rPr>
        <w:rFonts w:hint="eastAsia" w:ascii="黑体" w:hAnsi="黑体" w:eastAsia="黑体"/>
      </w:rPr>
    </w:lvl>
    <w:lvl w:ilvl="3" w:tentative="0">
      <w:start w:val="1"/>
      <w:numFmt w:val="decimal"/>
      <w:pStyle w:val="6"/>
      <w:suff w:val="nothing"/>
      <w:lvlText w:val="（%4）"/>
      <w:lvlJc w:val="left"/>
      <w:pPr>
        <w:tabs>
          <w:tab w:val="left" w:pos="0"/>
        </w:tabs>
        <w:ind w:left="0" w:firstLine="402"/>
      </w:pPr>
      <w:rPr>
        <w:rFonts w:hint="eastAsia" w:ascii="黑体" w:hAnsi="黑体" w:eastAsia="黑体"/>
      </w:rPr>
    </w:lvl>
    <w:lvl w:ilvl="4" w:tentative="0">
      <w:start w:val="1"/>
      <w:numFmt w:val="decimalEnclosedCircleChinese"/>
      <w:pStyle w:val="7"/>
      <w:suff w:val="nothing"/>
      <w:lvlText w:val="%5"/>
      <w:lvlJc w:val="left"/>
      <w:pPr>
        <w:tabs>
          <w:tab w:val="left" w:pos="0"/>
        </w:tabs>
        <w:ind w:left="0" w:firstLine="402"/>
      </w:pPr>
      <w:rPr>
        <w:rFonts w:hint="eastAsia" w:ascii="黑体" w:hAnsi="黑体" w:eastAsia="黑体"/>
      </w:rPr>
    </w:lvl>
    <w:lvl w:ilvl="5" w:tentative="0">
      <w:start w:val="1"/>
      <w:numFmt w:val="decimal"/>
      <w:pStyle w:val="8"/>
      <w:suff w:val="nothing"/>
      <w:lvlText w:val="%6）"/>
      <w:lvlJc w:val="left"/>
      <w:pPr>
        <w:ind w:left="0" w:firstLine="402"/>
      </w:pPr>
      <w:rPr>
        <w:rFonts w:hint="eastAsia"/>
      </w:rPr>
    </w:lvl>
    <w:lvl w:ilvl="6" w:tentative="0">
      <w:start w:val="1"/>
      <w:numFmt w:val="lowerLetter"/>
      <w:pStyle w:val="9"/>
      <w:suff w:val="nothing"/>
      <w:lvlText w:val="%7．"/>
      <w:lvlJc w:val="left"/>
      <w:pPr>
        <w:ind w:left="0" w:firstLine="402"/>
      </w:pPr>
      <w:rPr>
        <w:rFonts w:hint="eastAsia"/>
      </w:rPr>
    </w:lvl>
    <w:lvl w:ilvl="7" w:tentative="0">
      <w:start w:val="1"/>
      <w:numFmt w:val="lowerLetter"/>
      <w:pStyle w:val="10"/>
      <w:suff w:val="nothing"/>
      <w:lvlText w:val="%8）"/>
      <w:lvlJc w:val="left"/>
      <w:pPr>
        <w:ind w:left="0" w:firstLine="402"/>
      </w:pPr>
      <w:rPr>
        <w:rFonts w:hint="eastAsia"/>
      </w:rPr>
    </w:lvl>
    <w:lvl w:ilvl="8" w:tentative="0">
      <w:start w:val="1"/>
      <w:numFmt w:val="lowerRoman"/>
      <w:pStyle w:val="11"/>
      <w:suff w:val="nothing"/>
      <w:lvlText w:val="%9 "/>
      <w:lvlJc w:val="left"/>
      <w:pPr>
        <w:ind w:left="0" w:firstLine="402"/>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TrueTypeFonts/>
  <w:embedSystemFonts/>
  <w:doNotTrackMoves/>
  <w:documentProtection w:enforcement="0"/>
  <w:defaultTabStop w:val="720"/>
  <w:drawingGridHorizontalSpacing w:val="360"/>
  <w:drawingGridVerticalSpacing w:val="360"/>
  <w:noPunctuationKerning w:val="1"/>
  <w:characterSpacingControl w:val="doNotCompress"/>
  <w:footnotePr>
    <w:footnote w:id="0"/>
    <w:footnote w:id="1"/>
  </w:foot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954"/>
    <w:rsid w:val="000F5F0F"/>
    <w:rsid w:val="00172954"/>
    <w:rsid w:val="00364ED5"/>
    <w:rsid w:val="003A4716"/>
    <w:rsid w:val="005734F4"/>
    <w:rsid w:val="008139D6"/>
    <w:rsid w:val="00827599"/>
    <w:rsid w:val="00A724F6"/>
    <w:rsid w:val="00BA5CA7"/>
    <w:rsid w:val="00C37CEA"/>
    <w:rsid w:val="029702AE"/>
    <w:rsid w:val="02F71A94"/>
    <w:rsid w:val="040C25C7"/>
    <w:rsid w:val="05631D4F"/>
    <w:rsid w:val="06F324A7"/>
    <w:rsid w:val="07BE007D"/>
    <w:rsid w:val="08952EF1"/>
    <w:rsid w:val="093920B1"/>
    <w:rsid w:val="094538C4"/>
    <w:rsid w:val="098C4D33"/>
    <w:rsid w:val="0E0D1B4B"/>
    <w:rsid w:val="107B00EB"/>
    <w:rsid w:val="10B1228C"/>
    <w:rsid w:val="11785740"/>
    <w:rsid w:val="12FC7426"/>
    <w:rsid w:val="1391165E"/>
    <w:rsid w:val="1739327C"/>
    <w:rsid w:val="1856495D"/>
    <w:rsid w:val="19926C9F"/>
    <w:rsid w:val="1A327B3E"/>
    <w:rsid w:val="1A7E5134"/>
    <w:rsid w:val="1B3764F2"/>
    <w:rsid w:val="1B94140F"/>
    <w:rsid w:val="1BBF43CB"/>
    <w:rsid w:val="1DC67833"/>
    <w:rsid w:val="1ED65854"/>
    <w:rsid w:val="1FC57129"/>
    <w:rsid w:val="21E72D51"/>
    <w:rsid w:val="225B1AF4"/>
    <w:rsid w:val="233E7299"/>
    <w:rsid w:val="24F561C1"/>
    <w:rsid w:val="25407ECB"/>
    <w:rsid w:val="27901E39"/>
    <w:rsid w:val="27F4515B"/>
    <w:rsid w:val="2A612E9B"/>
    <w:rsid w:val="2AE03B48"/>
    <w:rsid w:val="2B1C7BEF"/>
    <w:rsid w:val="2CB908CC"/>
    <w:rsid w:val="2CE7453B"/>
    <w:rsid w:val="2D306A77"/>
    <w:rsid w:val="2D691711"/>
    <w:rsid w:val="31514B85"/>
    <w:rsid w:val="32C229EB"/>
    <w:rsid w:val="32CC5F08"/>
    <w:rsid w:val="33E8461D"/>
    <w:rsid w:val="354F7A14"/>
    <w:rsid w:val="36D05553"/>
    <w:rsid w:val="38F44DFD"/>
    <w:rsid w:val="3960184E"/>
    <w:rsid w:val="3ADB4FCE"/>
    <w:rsid w:val="3FD5A415"/>
    <w:rsid w:val="48524A18"/>
    <w:rsid w:val="486378A9"/>
    <w:rsid w:val="48670A0D"/>
    <w:rsid w:val="48A209A0"/>
    <w:rsid w:val="48FB52A6"/>
    <w:rsid w:val="493D40AE"/>
    <w:rsid w:val="496078EC"/>
    <w:rsid w:val="4A6E4E90"/>
    <w:rsid w:val="4B1F004D"/>
    <w:rsid w:val="4E625B5B"/>
    <w:rsid w:val="4F262104"/>
    <w:rsid w:val="4F8D71E9"/>
    <w:rsid w:val="51BD7ADB"/>
    <w:rsid w:val="52347CCC"/>
    <w:rsid w:val="52897275"/>
    <w:rsid w:val="53235299"/>
    <w:rsid w:val="532E4A15"/>
    <w:rsid w:val="536A7C62"/>
    <w:rsid w:val="54664607"/>
    <w:rsid w:val="54E241EE"/>
    <w:rsid w:val="567F6726"/>
    <w:rsid w:val="57A90EE1"/>
    <w:rsid w:val="57D52571"/>
    <w:rsid w:val="57E978E1"/>
    <w:rsid w:val="57FB3D2F"/>
    <w:rsid w:val="5EE804F9"/>
    <w:rsid w:val="611D5B03"/>
    <w:rsid w:val="6364248D"/>
    <w:rsid w:val="64BA1B76"/>
    <w:rsid w:val="66AC1B17"/>
    <w:rsid w:val="67445C6A"/>
    <w:rsid w:val="679701D6"/>
    <w:rsid w:val="67D378EB"/>
    <w:rsid w:val="68CF0917"/>
    <w:rsid w:val="6B0958C7"/>
    <w:rsid w:val="6CD553DD"/>
    <w:rsid w:val="6D9B3AD4"/>
    <w:rsid w:val="6EA250E1"/>
    <w:rsid w:val="6EA320E6"/>
    <w:rsid w:val="6FCB247D"/>
    <w:rsid w:val="700344D5"/>
    <w:rsid w:val="72B60375"/>
    <w:rsid w:val="738E499E"/>
    <w:rsid w:val="74464817"/>
    <w:rsid w:val="746672AE"/>
    <w:rsid w:val="74A83109"/>
    <w:rsid w:val="76BA4130"/>
    <w:rsid w:val="78484564"/>
    <w:rsid w:val="7953413B"/>
    <w:rsid w:val="79D510B7"/>
    <w:rsid w:val="7AE351C6"/>
    <w:rsid w:val="7B1F4742"/>
    <w:rsid w:val="7EEE23F5"/>
    <w:rsid w:val="7F1203F1"/>
    <w:rsid w:val="7FBC1A34"/>
  </w:rsids>
  <m:mathPr>
    <m:mathFont m:val="Cambria Math"/>
    <m:brkBin m:val="before"/>
    <m:brkBinSub m:val="--"/>
    <m:smallFrac m:val="0"/>
    <m:dispDef/>
    <m:lMargin m:val="0"/>
    <m:rMargin m:val="0"/>
    <m:defJc m:val="centerGroup"/>
    <m:wrapRight m:val="1"/>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9"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 w:semiHidden="0" w:name="Block Text"/>
    <w:lsdException w:qFormat="1"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jc w:val="both"/>
    </w:pPr>
    <w:rPr>
      <w:rFonts w:ascii="微软雅黑" w:hAnsi="微软雅黑" w:eastAsia="微软雅黑" w:cstheme="minorBidi"/>
      <w:sz w:val="24"/>
      <w:szCs w:val="24"/>
      <w:lang w:val="en-US" w:eastAsia="en-US" w:bidi="ar-SA"/>
    </w:rPr>
  </w:style>
  <w:style w:type="paragraph" w:styleId="2">
    <w:name w:val="heading 1"/>
    <w:basedOn w:val="1"/>
    <w:next w:val="3"/>
    <w:qFormat/>
    <w:uiPriority w:val="9"/>
    <w:pPr>
      <w:keepNext/>
      <w:keepLines/>
      <w:tabs>
        <w:tab w:val="left" w:pos="0"/>
      </w:tabs>
      <w:spacing w:before="480" w:after="0"/>
      <w:jc w:val="center"/>
      <w:outlineLvl w:val="0"/>
    </w:pPr>
    <w:rPr>
      <w:rFonts w:cstheme="majorBidi"/>
      <w:b/>
      <w:bCs/>
      <w:sz w:val="32"/>
      <w:szCs w:val="32"/>
    </w:rPr>
  </w:style>
  <w:style w:type="paragraph" w:styleId="4">
    <w:name w:val="heading 2"/>
    <w:basedOn w:val="1"/>
    <w:next w:val="3"/>
    <w:unhideWhenUsed/>
    <w:qFormat/>
    <w:uiPriority w:val="9"/>
    <w:pPr>
      <w:keepNext/>
      <w:keepLines/>
      <w:numPr>
        <w:ilvl w:val="1"/>
        <w:numId w:val="1"/>
      </w:numPr>
      <w:spacing w:before="200" w:after="0"/>
      <w:outlineLvl w:val="1"/>
    </w:pPr>
    <w:rPr>
      <w:rFonts w:cstheme="majorBidi"/>
      <w:b/>
      <w:bCs/>
      <w:sz w:val="28"/>
      <w:szCs w:val="28"/>
    </w:rPr>
  </w:style>
  <w:style w:type="paragraph" w:styleId="5">
    <w:name w:val="heading 3"/>
    <w:basedOn w:val="1"/>
    <w:next w:val="3"/>
    <w:unhideWhenUsed/>
    <w:qFormat/>
    <w:uiPriority w:val="9"/>
    <w:pPr>
      <w:keepNext/>
      <w:keepLines/>
      <w:numPr>
        <w:ilvl w:val="2"/>
        <w:numId w:val="1"/>
      </w:numPr>
      <w:spacing w:before="200" w:after="0"/>
      <w:outlineLvl w:val="2"/>
    </w:pPr>
    <w:rPr>
      <w:rFonts w:cstheme="majorBidi"/>
      <w:b/>
      <w:bCs/>
    </w:rPr>
  </w:style>
  <w:style w:type="paragraph" w:styleId="6">
    <w:name w:val="heading 4"/>
    <w:basedOn w:val="1"/>
    <w:next w:val="3"/>
    <w:unhideWhenUsed/>
    <w:qFormat/>
    <w:uiPriority w:val="9"/>
    <w:pPr>
      <w:keepNext/>
      <w:keepLines/>
      <w:numPr>
        <w:ilvl w:val="3"/>
        <w:numId w:val="1"/>
      </w:numPr>
      <w:spacing w:before="200" w:after="0"/>
      <w:outlineLvl w:val="3"/>
    </w:pPr>
    <w:rPr>
      <w:rFonts w:cstheme="majorBidi"/>
      <w:bCs/>
      <w:i/>
    </w:rPr>
  </w:style>
  <w:style w:type="paragraph" w:styleId="7">
    <w:name w:val="heading 5"/>
    <w:basedOn w:val="1"/>
    <w:next w:val="3"/>
    <w:unhideWhenUsed/>
    <w:qFormat/>
    <w:uiPriority w:val="9"/>
    <w:pPr>
      <w:keepNext/>
      <w:keepLines/>
      <w:numPr>
        <w:ilvl w:val="4"/>
        <w:numId w:val="1"/>
      </w:numPr>
      <w:spacing w:before="200" w:after="0"/>
      <w:outlineLvl w:val="4"/>
    </w:pPr>
    <w:rPr>
      <w:rFonts w:cstheme="majorBidi"/>
      <w:iCs/>
    </w:rPr>
  </w:style>
  <w:style w:type="paragraph" w:styleId="8">
    <w:name w:val="heading 6"/>
    <w:basedOn w:val="1"/>
    <w:next w:val="3"/>
    <w:unhideWhenUsed/>
    <w:qFormat/>
    <w:uiPriority w:val="9"/>
    <w:pPr>
      <w:keepNext/>
      <w:keepLines/>
      <w:numPr>
        <w:ilvl w:val="5"/>
        <w:numId w:val="1"/>
      </w:numPr>
      <w:spacing w:before="200" w:after="0"/>
      <w:outlineLvl w:val="5"/>
    </w:pPr>
    <w:rPr>
      <w:rFonts w:cstheme="majorBidi"/>
    </w:rPr>
  </w:style>
  <w:style w:type="paragraph" w:styleId="9">
    <w:name w:val="heading 7"/>
    <w:basedOn w:val="1"/>
    <w:next w:val="3"/>
    <w:unhideWhenUsed/>
    <w:qFormat/>
    <w:uiPriority w:val="9"/>
    <w:pPr>
      <w:keepNext/>
      <w:keepLines/>
      <w:numPr>
        <w:ilvl w:val="6"/>
        <w:numId w:val="1"/>
      </w:numPr>
      <w:spacing w:before="200" w:after="0"/>
      <w:outlineLvl w:val="6"/>
    </w:pPr>
    <w:rPr>
      <w:rFonts w:cstheme="majorBidi"/>
    </w:rPr>
  </w:style>
  <w:style w:type="paragraph" w:styleId="10">
    <w:name w:val="heading 8"/>
    <w:basedOn w:val="1"/>
    <w:next w:val="3"/>
    <w:unhideWhenUsed/>
    <w:qFormat/>
    <w:uiPriority w:val="9"/>
    <w:pPr>
      <w:keepNext/>
      <w:keepLines/>
      <w:numPr>
        <w:ilvl w:val="7"/>
        <w:numId w:val="1"/>
      </w:numPr>
      <w:spacing w:before="200" w:after="0"/>
      <w:outlineLvl w:val="7"/>
    </w:pPr>
    <w:rPr>
      <w:rFonts w:cstheme="majorBidi"/>
    </w:rPr>
  </w:style>
  <w:style w:type="paragraph" w:styleId="11">
    <w:name w:val="heading 9"/>
    <w:basedOn w:val="1"/>
    <w:next w:val="3"/>
    <w:unhideWhenUsed/>
    <w:qFormat/>
    <w:uiPriority w:val="9"/>
    <w:pPr>
      <w:keepNext/>
      <w:keepLines/>
      <w:numPr>
        <w:ilvl w:val="8"/>
        <w:numId w:val="1"/>
      </w:numPr>
      <w:spacing w:before="200" w:after="0"/>
      <w:outlineLvl w:val="8"/>
    </w:pPr>
    <w:rPr>
      <w:rFonts w:cstheme="majorBidi"/>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26"/>
    <w:qFormat/>
    <w:uiPriority w:val="0"/>
    <w:pPr>
      <w:spacing w:before="180" w:after="180"/>
      <w:ind w:firstLine="560" w:firstLineChars="200"/>
    </w:pPr>
  </w:style>
  <w:style w:type="paragraph" w:styleId="12">
    <w:name w:val="Normal Indent"/>
    <w:basedOn w:val="1"/>
    <w:qFormat/>
    <w:uiPriority w:val="0"/>
    <w:pPr>
      <w:ind w:firstLine="420" w:firstLineChars="200"/>
    </w:pPr>
    <w:rPr>
      <w:rFonts w:ascii="Calibri" w:hAnsi="Calibri" w:eastAsia="宋体" w:cs="Times New Roman"/>
      <w:szCs w:val="22"/>
    </w:rPr>
  </w:style>
  <w:style w:type="paragraph" w:styleId="13">
    <w:name w:val="caption"/>
    <w:basedOn w:val="1"/>
    <w:next w:val="1"/>
    <w:qFormat/>
    <w:uiPriority w:val="0"/>
    <w:pPr>
      <w:spacing w:after="120"/>
    </w:pPr>
    <w:rPr>
      <w:i/>
    </w:rPr>
  </w:style>
  <w:style w:type="paragraph" w:styleId="14">
    <w:name w:val="Block Text"/>
    <w:basedOn w:val="3"/>
    <w:next w:val="3"/>
    <w:unhideWhenUsed/>
    <w:qFormat/>
    <w:uiPriority w:val="9"/>
    <w:pPr>
      <w:spacing w:before="100" w:after="100"/>
      <w:ind w:left="480" w:right="480" w:firstLine="0"/>
    </w:pPr>
  </w:style>
  <w:style w:type="paragraph" w:styleId="15">
    <w:name w:val="Date"/>
    <w:next w:val="3"/>
    <w:qFormat/>
    <w:uiPriority w:val="0"/>
    <w:pPr>
      <w:keepNext/>
      <w:keepLines/>
      <w:spacing w:after="200"/>
      <w:jc w:val="center"/>
    </w:pPr>
    <w:rPr>
      <w:rFonts w:ascii="微软雅黑" w:hAnsi="微软雅黑" w:eastAsia="微软雅黑" w:cstheme="minorBidi"/>
      <w:sz w:val="24"/>
      <w:szCs w:val="24"/>
      <w:lang w:val="en-US" w:eastAsia="en-US" w:bidi="ar-SA"/>
    </w:rPr>
  </w:style>
  <w:style w:type="paragraph" w:styleId="16">
    <w:name w:val="footer"/>
    <w:basedOn w:val="1"/>
    <w:qFormat/>
    <w:uiPriority w:val="0"/>
    <w:pPr>
      <w:tabs>
        <w:tab w:val="center" w:pos="4153"/>
        <w:tab w:val="right" w:pos="8306"/>
      </w:tabs>
    </w:pPr>
    <w:rPr>
      <w:sz w:val="18"/>
      <w:szCs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rPr>
  </w:style>
  <w:style w:type="paragraph" w:styleId="18">
    <w:name w:val="Subtitle"/>
    <w:basedOn w:val="19"/>
    <w:next w:val="3"/>
    <w:qFormat/>
    <w:uiPriority w:val="0"/>
    <w:pPr>
      <w:spacing w:before="240"/>
    </w:pPr>
    <w:rPr>
      <w:sz w:val="30"/>
      <w:szCs w:val="30"/>
    </w:rPr>
  </w:style>
  <w:style w:type="paragraph" w:styleId="19">
    <w:name w:val="Title"/>
    <w:basedOn w:val="1"/>
    <w:qFormat/>
    <w:uiPriority w:val="0"/>
    <w:pPr>
      <w:keepNext/>
      <w:keepLines/>
      <w:spacing w:before="480" w:after="240"/>
      <w:jc w:val="center"/>
    </w:pPr>
    <w:rPr>
      <w:rFonts w:cstheme="majorBidi"/>
      <w:b/>
      <w:bCs/>
      <w:sz w:val="36"/>
      <w:szCs w:val="36"/>
    </w:rPr>
  </w:style>
  <w:style w:type="paragraph" w:styleId="20">
    <w:name w:val="footnote text"/>
    <w:basedOn w:val="1"/>
    <w:unhideWhenUsed/>
    <w:qFormat/>
    <w:uiPriority w:val="9"/>
  </w:style>
  <w:style w:type="paragraph" w:styleId="21">
    <w:name w:val="Normal (Web)"/>
    <w:basedOn w:val="1"/>
    <w:qFormat/>
    <w:uiPriority w:val="0"/>
    <w:pPr>
      <w:spacing w:beforeAutospacing="1" w:after="0" w:afterAutospacing="1"/>
      <w:ind w:firstLine="560" w:firstLineChars="200"/>
    </w:pPr>
    <w:rPr>
      <w:rFonts w:cs="Times New Roman"/>
      <w:lang w:eastAsia="zh-CN"/>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Hyperlink"/>
    <w:basedOn w:val="26"/>
    <w:qFormat/>
    <w:uiPriority w:val="0"/>
    <w:rPr>
      <w:rFonts w:ascii="微软雅黑" w:hAnsi="微软雅黑" w:eastAsia="微软雅黑"/>
      <w:color w:val="0070C0"/>
      <w:u w:val="single"/>
    </w:rPr>
  </w:style>
  <w:style w:type="character" w:customStyle="1" w:styleId="26">
    <w:name w:val="正文文本 字符"/>
    <w:basedOn w:val="24"/>
    <w:link w:val="3"/>
    <w:qFormat/>
    <w:uiPriority w:val="0"/>
    <w:rPr>
      <w:rFonts w:ascii="微软雅黑" w:hAnsi="微软雅黑" w:eastAsia="微软雅黑"/>
    </w:rPr>
  </w:style>
  <w:style w:type="character" w:styleId="27">
    <w:name w:val="footnote reference"/>
    <w:basedOn w:val="26"/>
    <w:qFormat/>
    <w:uiPriority w:val="0"/>
    <w:rPr>
      <w:rFonts w:ascii="微软雅黑" w:hAnsi="微软雅黑" w:eastAsia="微软雅黑"/>
      <w:vertAlign w:val="superscript"/>
    </w:rPr>
  </w:style>
  <w:style w:type="paragraph" w:customStyle="1" w:styleId="28">
    <w:name w:val="UserStyle_0"/>
    <w:basedOn w:val="1"/>
    <w:qFormat/>
    <w:uiPriority w:val="0"/>
    <w:pPr>
      <w:ind w:firstLine="200" w:firstLineChars="200"/>
    </w:pPr>
    <w:rPr>
      <w:rFonts w:ascii="Calibri" w:hAnsi="Calibri" w:eastAsia="宋体" w:cs="Times New Roman"/>
      <w:color w:val="000000"/>
      <w:szCs w:val="21"/>
    </w:rPr>
  </w:style>
  <w:style w:type="paragraph" w:customStyle="1" w:styleId="29">
    <w:name w:val="First Paragraph"/>
    <w:basedOn w:val="3"/>
    <w:next w:val="3"/>
    <w:qFormat/>
    <w:uiPriority w:val="0"/>
    <w:pPr>
      <w:ind w:firstLine="720"/>
    </w:pPr>
  </w:style>
  <w:style w:type="paragraph" w:customStyle="1" w:styleId="30">
    <w:name w:val="Compact"/>
    <w:basedOn w:val="3"/>
    <w:qFormat/>
    <w:uiPriority w:val="0"/>
    <w:pPr>
      <w:spacing w:before="36" w:after="36"/>
    </w:pPr>
  </w:style>
  <w:style w:type="paragraph" w:customStyle="1" w:styleId="31">
    <w:name w:val="Author"/>
    <w:next w:val="3"/>
    <w:qFormat/>
    <w:uiPriority w:val="0"/>
    <w:pPr>
      <w:keepNext/>
      <w:keepLines/>
      <w:spacing w:after="200"/>
      <w:jc w:val="center"/>
    </w:pPr>
    <w:rPr>
      <w:rFonts w:ascii="微软雅黑" w:hAnsi="微软雅黑" w:eastAsia="微软雅黑" w:cstheme="minorBidi"/>
      <w:sz w:val="24"/>
      <w:szCs w:val="24"/>
      <w:lang w:val="en-US" w:eastAsia="en-US" w:bidi="ar-SA"/>
    </w:rPr>
  </w:style>
  <w:style w:type="paragraph" w:customStyle="1" w:styleId="32">
    <w:name w:val="Abstract Title"/>
    <w:basedOn w:val="1"/>
    <w:next w:val="33"/>
    <w:qFormat/>
    <w:uiPriority w:val="0"/>
    <w:pPr>
      <w:keepNext/>
      <w:keepLines/>
      <w:spacing w:before="300" w:after="0"/>
      <w:jc w:val="center"/>
    </w:pPr>
    <w:rPr>
      <w:b/>
      <w:color w:val="345A8A"/>
      <w:sz w:val="20"/>
      <w:szCs w:val="20"/>
    </w:rPr>
  </w:style>
  <w:style w:type="paragraph" w:customStyle="1" w:styleId="33">
    <w:name w:val="Abstract"/>
    <w:basedOn w:val="1"/>
    <w:next w:val="3"/>
    <w:qFormat/>
    <w:uiPriority w:val="0"/>
    <w:pPr>
      <w:keepNext/>
      <w:keepLines/>
      <w:spacing w:before="100" w:after="300"/>
    </w:pPr>
    <w:rPr>
      <w:sz w:val="20"/>
      <w:szCs w:val="20"/>
    </w:rPr>
  </w:style>
  <w:style w:type="paragraph" w:customStyle="1" w:styleId="34">
    <w:name w:val="书目1"/>
    <w:basedOn w:val="1"/>
    <w:qFormat/>
    <w:uiPriority w:val="0"/>
  </w:style>
  <w:style w:type="paragraph" w:customStyle="1" w:styleId="35">
    <w:name w:val="Footnote Block Text"/>
    <w:unhideWhenUsed/>
    <w:qFormat/>
    <w:uiPriority w:val="9"/>
    <w:pPr>
      <w:spacing w:before="100" w:after="100"/>
      <w:ind w:left="480" w:right="480"/>
    </w:pPr>
    <w:rPr>
      <w:rFonts w:asciiTheme="minorHAnsi" w:hAnsiTheme="minorHAnsi" w:eastAsiaTheme="minorHAnsi" w:cstheme="minorBidi"/>
      <w:sz w:val="24"/>
      <w:szCs w:val="24"/>
      <w:lang w:val="en-US" w:eastAsia="en-US" w:bidi="ar-SA"/>
    </w:rPr>
  </w:style>
  <w:style w:type="table" w:customStyle="1" w:styleId="36">
    <w:name w:val="Table"/>
    <w:unhideWhenUsed/>
    <w:qFormat/>
    <w:uiPriority w:val="0"/>
    <w:tblPr>
      <w:tblCellMar>
        <w:top w:w="0" w:type="dxa"/>
        <w:left w:w="108" w:type="dxa"/>
        <w:bottom w:w="0" w:type="dxa"/>
        <w:right w:w="108" w:type="dxa"/>
      </w:tblCellMar>
    </w:tblPr>
    <w:tblStylePr w:type="firstRow">
      <w:tcPr>
        <w:tcBorders>
          <w:bottom w:val="single" w:color="auto" w:sz="0" w:space="0"/>
        </w:tcBorders>
        <w:vAlign w:val="bottom"/>
      </w:tcPr>
    </w:tblStylePr>
  </w:style>
  <w:style w:type="paragraph" w:customStyle="1" w:styleId="37">
    <w:name w:val="Definition Term"/>
    <w:basedOn w:val="1"/>
    <w:next w:val="38"/>
    <w:qFormat/>
    <w:uiPriority w:val="0"/>
    <w:pPr>
      <w:keepNext/>
      <w:keepLines/>
      <w:spacing w:after="0"/>
    </w:pPr>
    <w:rPr>
      <w:b/>
    </w:rPr>
  </w:style>
  <w:style w:type="paragraph" w:customStyle="1" w:styleId="38">
    <w:name w:val="Definition"/>
    <w:basedOn w:val="1"/>
    <w:qFormat/>
    <w:uiPriority w:val="0"/>
  </w:style>
  <w:style w:type="paragraph" w:customStyle="1" w:styleId="39">
    <w:name w:val="Table Caption"/>
    <w:basedOn w:val="13"/>
    <w:qFormat/>
    <w:uiPriority w:val="0"/>
    <w:pPr>
      <w:keepNext/>
    </w:pPr>
  </w:style>
  <w:style w:type="paragraph" w:customStyle="1" w:styleId="40">
    <w:name w:val="Image Caption"/>
    <w:basedOn w:val="13"/>
    <w:qFormat/>
    <w:uiPriority w:val="0"/>
  </w:style>
  <w:style w:type="paragraph" w:customStyle="1" w:styleId="41">
    <w:name w:val="Figure"/>
    <w:basedOn w:val="1"/>
    <w:qFormat/>
    <w:uiPriority w:val="0"/>
  </w:style>
  <w:style w:type="paragraph" w:customStyle="1" w:styleId="42">
    <w:name w:val="Captioned Figure"/>
    <w:basedOn w:val="41"/>
    <w:qFormat/>
    <w:uiPriority w:val="0"/>
    <w:pPr>
      <w:keepNext/>
    </w:pPr>
  </w:style>
  <w:style w:type="character" w:customStyle="1" w:styleId="43">
    <w:name w:val="Verbatim Char"/>
    <w:basedOn w:val="26"/>
    <w:qFormat/>
    <w:uiPriority w:val="0"/>
    <w:rPr>
      <w:rFonts w:ascii="Consolas" w:hAnsi="Consolas" w:eastAsia="微软雅黑"/>
      <w:sz w:val="22"/>
    </w:rPr>
  </w:style>
  <w:style w:type="character" w:customStyle="1" w:styleId="44">
    <w:name w:val="Section Number"/>
    <w:basedOn w:val="26"/>
    <w:qFormat/>
    <w:uiPriority w:val="0"/>
    <w:rPr>
      <w:rFonts w:ascii="微软雅黑" w:hAnsi="微软雅黑" w:eastAsia="微软雅黑"/>
    </w:rPr>
  </w:style>
  <w:style w:type="paragraph" w:customStyle="1" w:styleId="45">
    <w:name w:val="TOC 标题1"/>
    <w:basedOn w:val="2"/>
    <w:next w:val="3"/>
    <w:unhideWhenUsed/>
    <w:qFormat/>
    <w:uiPriority w:val="39"/>
    <w:pPr>
      <w:spacing w:before="240" w:line="259" w:lineRule="auto"/>
      <w:outlineLvl w:val="9"/>
    </w:pPr>
    <w:rPr>
      <w:rFonts w:asciiTheme="majorHAnsi" w:hAnsiTheme="majorHAnsi" w:eastAsiaTheme="majorEastAsia"/>
      <w:b w:val="0"/>
      <w:bCs w:val="0"/>
      <w:color w:val="376092" w:themeColor="accent1" w:themeShade="BF"/>
    </w:rPr>
  </w:style>
  <w:style w:type="paragraph" w:customStyle="1" w:styleId="46">
    <w:name w:val="Source Code"/>
    <w:qFormat/>
    <w:uiPriority w:val="0"/>
    <w:pPr>
      <w:wordWrap w:val="0"/>
    </w:pPr>
    <w:rPr>
      <w:rFonts w:asciiTheme="minorHAnsi" w:hAnsiTheme="minorHAnsi" w:eastAsiaTheme="minorHAnsi" w:cstheme="minorBidi"/>
      <w:lang w:val="en-US" w:eastAsia="zh-CN" w:bidi="ar-SA"/>
    </w:rPr>
  </w:style>
  <w:style w:type="character" w:customStyle="1" w:styleId="47">
    <w:name w:val="KeywordTok"/>
    <w:qFormat/>
    <w:uiPriority w:val="0"/>
    <w:rPr>
      <w:b/>
      <w:color w:val="007020"/>
    </w:rPr>
  </w:style>
  <w:style w:type="character" w:customStyle="1" w:styleId="48">
    <w:name w:val="DataTypeTok"/>
    <w:qFormat/>
    <w:uiPriority w:val="0"/>
    <w:rPr>
      <w:color w:val="902000"/>
    </w:rPr>
  </w:style>
  <w:style w:type="character" w:customStyle="1" w:styleId="49">
    <w:name w:val="DecValTok"/>
    <w:qFormat/>
    <w:uiPriority w:val="0"/>
    <w:rPr>
      <w:color w:val="40A070"/>
    </w:rPr>
  </w:style>
  <w:style w:type="character" w:customStyle="1" w:styleId="50">
    <w:name w:val="BaseNTok"/>
    <w:qFormat/>
    <w:uiPriority w:val="0"/>
    <w:rPr>
      <w:color w:val="40A070"/>
    </w:rPr>
  </w:style>
  <w:style w:type="character" w:customStyle="1" w:styleId="51">
    <w:name w:val="FloatTok"/>
    <w:qFormat/>
    <w:uiPriority w:val="0"/>
    <w:rPr>
      <w:color w:val="40A070"/>
    </w:rPr>
  </w:style>
  <w:style w:type="character" w:customStyle="1" w:styleId="52">
    <w:name w:val="ConstantTok"/>
    <w:qFormat/>
    <w:uiPriority w:val="0"/>
    <w:rPr>
      <w:color w:val="880000"/>
    </w:rPr>
  </w:style>
  <w:style w:type="character" w:customStyle="1" w:styleId="53">
    <w:name w:val="CharTok"/>
    <w:qFormat/>
    <w:uiPriority w:val="0"/>
    <w:rPr>
      <w:color w:val="4070A0"/>
    </w:rPr>
  </w:style>
  <w:style w:type="character" w:customStyle="1" w:styleId="54">
    <w:name w:val="SpecialCharTok"/>
    <w:qFormat/>
    <w:uiPriority w:val="0"/>
    <w:rPr>
      <w:color w:val="4070A0"/>
    </w:rPr>
  </w:style>
  <w:style w:type="character" w:customStyle="1" w:styleId="55">
    <w:name w:val="StringTok"/>
    <w:qFormat/>
    <w:uiPriority w:val="0"/>
    <w:rPr>
      <w:color w:val="4070A0"/>
    </w:rPr>
  </w:style>
  <w:style w:type="character" w:customStyle="1" w:styleId="56">
    <w:name w:val="VerbatimStringTok"/>
    <w:qFormat/>
    <w:uiPriority w:val="0"/>
    <w:rPr>
      <w:color w:val="4070A0"/>
    </w:rPr>
  </w:style>
  <w:style w:type="character" w:customStyle="1" w:styleId="57">
    <w:name w:val="SpecialStringTok"/>
    <w:qFormat/>
    <w:uiPriority w:val="0"/>
    <w:rPr>
      <w:color w:val="BB6688"/>
    </w:rPr>
  </w:style>
  <w:style w:type="character" w:customStyle="1" w:styleId="58">
    <w:name w:val="ImportTok"/>
    <w:qFormat/>
    <w:uiPriority w:val="0"/>
    <w:rPr>
      <w:b/>
      <w:color w:val="008000"/>
    </w:rPr>
  </w:style>
  <w:style w:type="character" w:customStyle="1" w:styleId="59">
    <w:name w:val="CommentTok"/>
    <w:qFormat/>
    <w:uiPriority w:val="0"/>
    <w:rPr>
      <w:i/>
      <w:color w:val="60A0B0"/>
    </w:rPr>
  </w:style>
  <w:style w:type="character" w:customStyle="1" w:styleId="60">
    <w:name w:val="DocumentationTok"/>
    <w:qFormat/>
    <w:uiPriority w:val="0"/>
    <w:rPr>
      <w:i/>
      <w:color w:val="BA2121"/>
    </w:rPr>
  </w:style>
  <w:style w:type="character" w:customStyle="1" w:styleId="61">
    <w:name w:val="AnnotationTok"/>
    <w:qFormat/>
    <w:uiPriority w:val="0"/>
    <w:rPr>
      <w:b/>
      <w:i/>
      <w:color w:val="60A0B0"/>
    </w:rPr>
  </w:style>
  <w:style w:type="character" w:customStyle="1" w:styleId="62">
    <w:name w:val="CommentVarTok"/>
    <w:qFormat/>
    <w:uiPriority w:val="0"/>
    <w:rPr>
      <w:b/>
      <w:i/>
      <w:color w:val="60A0B0"/>
    </w:rPr>
  </w:style>
  <w:style w:type="character" w:customStyle="1" w:styleId="63">
    <w:name w:val="OtherTok"/>
    <w:qFormat/>
    <w:uiPriority w:val="0"/>
    <w:rPr>
      <w:color w:val="007020"/>
    </w:rPr>
  </w:style>
  <w:style w:type="character" w:customStyle="1" w:styleId="64">
    <w:name w:val="FunctionTok"/>
    <w:qFormat/>
    <w:uiPriority w:val="0"/>
    <w:rPr>
      <w:color w:val="06287E"/>
    </w:rPr>
  </w:style>
  <w:style w:type="character" w:customStyle="1" w:styleId="65">
    <w:name w:val="VariableTok"/>
    <w:qFormat/>
    <w:uiPriority w:val="0"/>
    <w:rPr>
      <w:color w:val="19177C"/>
    </w:rPr>
  </w:style>
  <w:style w:type="character" w:customStyle="1" w:styleId="66">
    <w:name w:val="ControlFlowTok"/>
    <w:qFormat/>
    <w:uiPriority w:val="0"/>
    <w:rPr>
      <w:b/>
      <w:color w:val="007020"/>
    </w:rPr>
  </w:style>
  <w:style w:type="character" w:customStyle="1" w:styleId="67">
    <w:name w:val="OperatorTok"/>
    <w:qFormat/>
    <w:uiPriority w:val="0"/>
    <w:rPr>
      <w:color w:val="666666"/>
    </w:rPr>
  </w:style>
  <w:style w:type="character" w:customStyle="1" w:styleId="68">
    <w:name w:val="BuiltInTok"/>
    <w:qFormat/>
    <w:uiPriority w:val="0"/>
    <w:rPr>
      <w:color w:val="008000"/>
    </w:rPr>
  </w:style>
  <w:style w:type="character" w:customStyle="1" w:styleId="69">
    <w:name w:val="ExtensionTok"/>
    <w:qFormat/>
    <w:uiPriority w:val="0"/>
  </w:style>
  <w:style w:type="character" w:customStyle="1" w:styleId="70">
    <w:name w:val="PreprocessorTok"/>
    <w:qFormat/>
    <w:uiPriority w:val="0"/>
    <w:rPr>
      <w:color w:val="BC7A00"/>
    </w:rPr>
  </w:style>
  <w:style w:type="character" w:customStyle="1" w:styleId="71">
    <w:name w:val="AttributeTok"/>
    <w:qFormat/>
    <w:uiPriority w:val="0"/>
    <w:rPr>
      <w:color w:val="7D9029"/>
    </w:rPr>
  </w:style>
  <w:style w:type="character" w:customStyle="1" w:styleId="72">
    <w:name w:val="RegionMarkerTok"/>
    <w:qFormat/>
    <w:uiPriority w:val="0"/>
  </w:style>
  <w:style w:type="character" w:customStyle="1" w:styleId="73">
    <w:name w:val="InformationTok"/>
    <w:qFormat/>
    <w:uiPriority w:val="0"/>
    <w:rPr>
      <w:b/>
      <w:i/>
      <w:color w:val="60A0B0"/>
    </w:rPr>
  </w:style>
  <w:style w:type="character" w:customStyle="1" w:styleId="74">
    <w:name w:val="WarningTok"/>
    <w:qFormat/>
    <w:uiPriority w:val="0"/>
    <w:rPr>
      <w:b/>
      <w:i/>
      <w:color w:val="60A0B0"/>
    </w:rPr>
  </w:style>
  <w:style w:type="character" w:customStyle="1" w:styleId="75">
    <w:name w:val="AlertTok"/>
    <w:qFormat/>
    <w:uiPriority w:val="0"/>
    <w:rPr>
      <w:b/>
      <w:color w:val="FF0000"/>
    </w:rPr>
  </w:style>
  <w:style w:type="character" w:customStyle="1" w:styleId="76">
    <w:name w:val="ErrorTok"/>
    <w:qFormat/>
    <w:uiPriority w:val="0"/>
    <w:rPr>
      <w:b/>
      <w:color w:val="FF0000"/>
    </w:rPr>
  </w:style>
  <w:style w:type="character" w:customStyle="1" w:styleId="77">
    <w:name w:val="NormalTok"/>
    <w:qFormat/>
    <w:uiPriority w:val="0"/>
  </w:style>
  <w:style w:type="paragraph" w:customStyle="1" w:styleId="78">
    <w:name w:val="Table Text"/>
    <w:basedOn w:val="1"/>
    <w:semiHidden/>
    <w:qFormat/>
    <w:uiPriority w:val="0"/>
    <w:rPr>
      <w:rFonts w:cs="微软雅黑"/>
      <w:sz w:val="31"/>
      <w:szCs w:val="31"/>
    </w:rPr>
  </w:style>
  <w:style w:type="table" w:customStyle="1" w:styleId="79">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3786</Words>
  <Characters>3998</Characters>
  <Lines>237</Lines>
  <Paragraphs>133</Paragraphs>
  <TotalTime>33</TotalTime>
  <ScaleCrop>false</ScaleCrop>
  <LinksUpToDate>false</LinksUpToDate>
  <CharactersWithSpaces>4372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2025-04-27T20:57:00Z</dcterms:created>
  <dc:creator>84252</dc:creator>
  <cp:lastModifiedBy>太阳的香气</cp:lastModifiedBy>
  <cp:lastPrinted>2025-05-30T08:51:00Z</cp:lastPrinted>
  <dcterms:modified xsi:type="dcterms:W3CDTF">2025-05-30T09:00:45Z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59F502AF36A6455C9EF16B64D5A77F29_13</vt:lpwstr>
  </property>
  <property fmtid="{D5CDD505-2E9C-101B-9397-08002B2CF9AE}" pid="4" name="KSOTemplateDocerSaveRecord">
    <vt:lpwstr>eyJoZGlkIjoiNDM2NmZkYmIxNzE1YTc1ZDNjMmFlMDA5NzY3MTY1M2IiLCJ1c2VySWQiOiIxMjk1NjI1NzY3In0=</vt:lpwstr>
  </property>
</Properties>
</file>