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1AD4">
      <w:pPr>
        <w:spacing w:line="3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1098550</wp:posOffset>
            </wp:positionH>
            <wp:positionV relativeFrom="page">
              <wp:posOffset>596900</wp:posOffset>
            </wp:positionV>
            <wp:extent cx="717550" cy="730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487" cy="73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3F7AB">
      <w:pPr>
        <w:spacing w:before="113" w:line="219" w:lineRule="auto"/>
        <w:ind w:left="207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</w:rPr>
        <w:t>卫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生</w:t>
      </w:r>
      <w:r>
        <w:rPr>
          <w:rFonts w:ascii="宋体" w:hAnsi="宋体" w:eastAsia="宋体" w:cs="宋体"/>
          <w:spacing w:val="68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行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政</w:t>
      </w:r>
      <w:r>
        <w:rPr>
          <w:rFonts w:ascii="宋体" w:hAnsi="宋体" w:eastAsia="宋体" w:cs="宋体"/>
          <w:spacing w:val="76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执</w:t>
      </w:r>
      <w:r>
        <w:rPr>
          <w:rFonts w:ascii="宋体" w:hAnsi="宋体" w:eastAsia="宋体" w:cs="宋体"/>
          <w:spacing w:val="57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法</w:t>
      </w:r>
      <w:r>
        <w:rPr>
          <w:rFonts w:ascii="宋体" w:hAnsi="宋体" w:eastAsia="宋体" w:cs="宋体"/>
          <w:spacing w:val="68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文   书</w:t>
      </w:r>
    </w:p>
    <w:p w14:paraId="4B41CD9A">
      <w:pPr>
        <w:spacing w:line="297" w:lineRule="auto"/>
        <w:rPr>
          <w:rFonts w:ascii="Arial"/>
          <w:sz w:val="21"/>
        </w:rPr>
      </w:pPr>
    </w:p>
    <w:p w14:paraId="6BD94680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154305</wp:posOffset>
            </wp:positionV>
            <wp:extent cx="567690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3" cy="1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2F74E">
      <w:pPr>
        <w:spacing w:before="101" w:line="222" w:lineRule="auto"/>
        <w:ind w:left="34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行政处罚决定书</w:t>
      </w:r>
    </w:p>
    <w:p w14:paraId="6CB06F02">
      <w:pPr>
        <w:spacing w:before="225" w:line="222" w:lineRule="auto"/>
        <w:ind w:right="40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第</w:t>
      </w:r>
      <w:r>
        <w:rPr>
          <w:rFonts w:ascii="黑体" w:hAnsi="黑体" w:eastAsia="黑体" w:cs="黑体"/>
          <w:spacing w:val="-36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1</w:t>
      </w:r>
      <w:r>
        <w:rPr>
          <w:rFonts w:ascii="黑体" w:hAnsi="黑体" w:eastAsia="黑体" w:cs="黑体"/>
          <w:spacing w:val="-46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页</w:t>
      </w:r>
      <w:r>
        <w:rPr>
          <w:rFonts w:ascii="黑体" w:hAnsi="黑体" w:eastAsia="黑体" w:cs="黑体"/>
          <w:spacing w:val="-49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共</w:t>
      </w:r>
      <w:r>
        <w:rPr>
          <w:rFonts w:ascii="黑体" w:hAnsi="黑体" w:eastAsia="黑体" w:cs="黑体"/>
          <w:spacing w:val="-54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2</w:t>
      </w:r>
      <w:r>
        <w:rPr>
          <w:rFonts w:ascii="黑体" w:hAnsi="黑体" w:eastAsia="黑体" w:cs="黑体"/>
          <w:spacing w:val="-45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3"/>
          <w:szCs w:val="23"/>
        </w:rPr>
        <w:t>页</w:t>
      </w:r>
    </w:p>
    <w:p w14:paraId="23676548">
      <w:pPr>
        <w:pStyle w:val="2"/>
        <w:spacing w:before="217" w:line="223" w:lineRule="auto"/>
        <w:ind w:left="5920"/>
      </w:pPr>
      <w:r>
        <w:rPr>
          <w:spacing w:val="21"/>
        </w:rPr>
        <w:t>文号：宛卫医罚(2025)11号</w:t>
      </w:r>
    </w:p>
    <w:p w14:paraId="41D31467">
      <w:pPr>
        <w:pStyle w:val="2"/>
        <w:spacing w:before="230" w:line="402" w:lineRule="auto"/>
        <w:ind w:left="100" w:right="143"/>
        <w:jc w:val="both"/>
      </w:pPr>
      <w:r>
        <w:rPr>
          <w:spacing w:val="4"/>
        </w:rPr>
        <w:t>被处罚人：南阳市中心医院(统一社会信用代码：1</w:t>
      </w:r>
      <w:r>
        <w:rPr>
          <w:rFonts w:hint="eastAsia"/>
          <w:spacing w:val="4"/>
          <w:lang w:val="en-US" w:eastAsia="zh-CN"/>
        </w:rPr>
        <w:t>xxxxxxxxxxxxxxxx</w:t>
      </w:r>
      <w:r>
        <w:rPr>
          <w:rFonts w:ascii="宋体" w:hAnsi="宋体" w:eastAsia="宋体" w:cs="宋体"/>
          <w:spacing w:val="4"/>
        </w:rPr>
        <w:t xml:space="preserve">U; </w:t>
      </w:r>
      <w:r>
        <w:rPr>
          <w:spacing w:val="4"/>
        </w:rPr>
        <w:t>医疗机构执业</w:t>
      </w:r>
      <w:r>
        <w:rPr>
          <w:spacing w:val="7"/>
        </w:rPr>
        <w:t xml:space="preserve"> </w:t>
      </w:r>
      <w:r>
        <w:rPr>
          <w:spacing w:val="6"/>
        </w:rPr>
        <w:t>许可证号：4</w:t>
      </w:r>
      <w:r>
        <w:rPr>
          <w:rFonts w:hint="eastAsia"/>
          <w:spacing w:val="6"/>
          <w:lang w:val="en-US" w:eastAsia="zh-CN"/>
        </w:rPr>
        <w:t>xxxxxxxxxxxx</w:t>
      </w:r>
      <w:r>
        <w:rPr>
          <w:rFonts w:ascii="Times New Roman" w:hAnsi="Times New Roman" w:eastAsia="Times New Roman" w:cs="Times New Roman"/>
          <w:spacing w:val="6"/>
        </w:rPr>
        <w:t xml:space="preserve">1;  </w:t>
      </w:r>
      <w:r>
        <w:rPr>
          <w:spacing w:val="6"/>
        </w:rPr>
        <w:t>地址：南阳市工农路312号；法定代表人：王</w:t>
      </w:r>
      <w:r>
        <w:rPr>
          <w:rFonts w:hint="eastAsia"/>
          <w:spacing w:val="7"/>
          <w:lang w:val="en-US" w:eastAsia="zh-CN"/>
        </w:rPr>
        <w:t>xx</w:t>
      </w:r>
      <w:r>
        <w:rPr>
          <w:spacing w:val="7"/>
        </w:rPr>
        <w:t>；性别：男；民族：汉族；身份证号：4</w:t>
      </w:r>
      <w:r>
        <w:rPr>
          <w:rFonts w:hint="eastAsia"/>
          <w:spacing w:val="7"/>
          <w:lang w:val="en-US" w:eastAsia="zh-CN"/>
        </w:rPr>
        <w:t>xxxxxxxxxx</w:t>
      </w:r>
      <w:r>
        <w:rPr>
          <w:spacing w:val="7"/>
        </w:rPr>
        <w:t>0;家庭住址：河南省</w:t>
      </w:r>
      <w:r>
        <w:rPr>
          <w:rFonts w:hint="eastAsia"/>
          <w:spacing w:val="7"/>
          <w:lang w:val="en-US" w:eastAsia="zh-CN"/>
        </w:rPr>
        <w:t>xxxxxxxxx</w:t>
      </w:r>
      <w:r>
        <w:rPr>
          <w:spacing w:val="11"/>
        </w:rPr>
        <w:t>号；职务：院长；联系电话：6</w:t>
      </w:r>
      <w:r>
        <w:rPr>
          <w:rFonts w:hint="eastAsia"/>
          <w:spacing w:val="11"/>
          <w:lang w:val="en-US" w:eastAsia="zh-CN"/>
        </w:rPr>
        <w:t>xxxxxx</w:t>
      </w:r>
      <w:r>
        <w:rPr>
          <w:spacing w:val="10"/>
        </w:rPr>
        <w:t>0)</w:t>
      </w:r>
    </w:p>
    <w:p w14:paraId="1ADF499C">
      <w:pPr>
        <w:pStyle w:val="2"/>
        <w:spacing w:before="19" w:line="400" w:lineRule="auto"/>
        <w:ind w:left="100" w:right="152" w:firstLine="439"/>
        <w:jc w:val="both"/>
      </w:pPr>
      <w:r>
        <w:rPr>
          <w:spacing w:val="21"/>
        </w:rPr>
        <w:t>本机关依法查明：2025 年4月8日；位于南阳市工农路312号的你院住院</w:t>
      </w:r>
      <w:r>
        <w:rPr>
          <w:spacing w:val="20"/>
        </w:rPr>
        <w:t>患者</w:t>
      </w:r>
      <w:r>
        <w:t xml:space="preserve"> </w:t>
      </w:r>
      <w:r>
        <w:rPr>
          <w:spacing w:val="7"/>
        </w:rPr>
        <w:t>陈</w:t>
      </w:r>
      <w:r>
        <w:rPr>
          <w:rFonts w:hint="eastAsia"/>
          <w:spacing w:val="7"/>
          <w:lang w:val="en-US" w:eastAsia="zh-CN"/>
        </w:rPr>
        <w:t>xx</w:t>
      </w:r>
      <w:r>
        <w:rPr>
          <w:spacing w:val="7"/>
        </w:rPr>
        <w:t>(男；55岁；病案号：2</w:t>
      </w:r>
      <w:r>
        <w:rPr>
          <w:rFonts w:hint="eastAsia"/>
          <w:spacing w:val="7"/>
          <w:lang w:val="en-US" w:eastAsia="zh-CN"/>
        </w:rPr>
        <w:t>xxxxx</w:t>
      </w:r>
      <w:r>
        <w:rPr>
          <w:spacing w:val="7"/>
        </w:rPr>
        <w:t>9)住院过程中死亡与医院产生医疗纠纷；申请人</w:t>
      </w:r>
      <w:r>
        <w:rPr>
          <w:spacing w:val="12"/>
        </w:rPr>
        <w:t xml:space="preserve"> </w:t>
      </w:r>
      <w:r>
        <w:rPr>
          <w:spacing w:val="2"/>
        </w:rPr>
        <w:t>在申请复印及封存病历时，你院未对封存病历开列清单，由医患双方签字或者盖章，各</w:t>
      </w:r>
      <w:r>
        <w:rPr>
          <w:spacing w:val="8"/>
        </w:rPr>
        <w:t xml:space="preserve"> </w:t>
      </w:r>
      <w:r>
        <w:rPr>
          <w:spacing w:val="2"/>
        </w:rPr>
        <w:t>执一份；你院未按规定封存病历资料。</w:t>
      </w:r>
    </w:p>
    <w:p w14:paraId="062C4B64">
      <w:pPr>
        <w:pStyle w:val="2"/>
        <w:spacing w:before="7" w:line="401" w:lineRule="auto"/>
        <w:ind w:left="100" w:right="143" w:firstLine="439"/>
      </w:pPr>
      <w:r>
        <w:rPr>
          <w:spacing w:val="2"/>
        </w:rPr>
        <w:t>你院未按规定封存病历资料的行为；违反了《医疗纠纷预防和处理条例》第二十四</w:t>
      </w:r>
      <w:r>
        <w:rPr>
          <w:spacing w:val="17"/>
        </w:rPr>
        <w:t xml:space="preserve"> </w:t>
      </w:r>
      <w:r>
        <w:rPr>
          <w:spacing w:val="2"/>
        </w:rPr>
        <w:t>条第一款“发生医疗纠纷需要封存、启封病历资料的，应当在医患双方在场的情况下进</w:t>
      </w:r>
      <w:r>
        <w:rPr>
          <w:spacing w:val="9"/>
        </w:rPr>
        <w:t xml:space="preserve"> </w:t>
      </w:r>
      <w:r>
        <w:rPr>
          <w:spacing w:val="3"/>
        </w:rPr>
        <w:t>行。封存的病历资料可以是原件，也可以是</w:t>
      </w:r>
      <w:r>
        <w:rPr>
          <w:spacing w:val="2"/>
        </w:rPr>
        <w:t>复制件，由医疗机构保管。病历尚未完成需</w:t>
      </w:r>
      <w:r>
        <w:t xml:space="preserve"> </w:t>
      </w:r>
      <w:r>
        <w:rPr>
          <w:spacing w:val="-3"/>
        </w:rPr>
        <w:t>要封存的，对已完成病历先行封存；病历按照规</w:t>
      </w:r>
      <w:r>
        <w:rPr>
          <w:spacing w:val="-4"/>
        </w:rPr>
        <w:t>定完成后，再对后续完成部分进行封存。</w:t>
      </w:r>
      <w:r>
        <w:t xml:space="preserve"> </w:t>
      </w:r>
      <w:r>
        <w:rPr>
          <w:spacing w:val="2"/>
        </w:rPr>
        <w:t>医疗机构应当对封存的病历开列封存清单，由医患双方签字或者盖章，各执一份。”的</w:t>
      </w:r>
      <w:r>
        <w:rPr>
          <w:spacing w:val="15"/>
        </w:rPr>
        <w:t xml:space="preserve"> </w:t>
      </w:r>
      <w:r>
        <w:rPr>
          <w:spacing w:val="2"/>
        </w:rPr>
        <w:t>有关规定，依法应当给予行政处罚。</w:t>
      </w:r>
    </w:p>
    <w:p w14:paraId="2BEA9891">
      <w:pPr>
        <w:pStyle w:val="2"/>
        <w:spacing w:before="39" w:line="222" w:lineRule="auto"/>
        <w:ind w:left="539"/>
      </w:pPr>
      <w:r>
        <w:rPr>
          <w:spacing w:val="-1"/>
        </w:rPr>
        <w:t>以上事实有以下相关证据为证：</w:t>
      </w:r>
    </w:p>
    <w:p w14:paraId="62BB38AB">
      <w:pPr>
        <w:pStyle w:val="2"/>
        <w:spacing w:before="216" w:line="222" w:lineRule="auto"/>
        <w:ind w:left="539"/>
      </w:pPr>
      <w:r>
        <w:rPr>
          <w:spacing w:val="-3"/>
        </w:rPr>
        <w:t>主体资格的认定证据：</w:t>
      </w:r>
    </w:p>
    <w:p w14:paraId="4CBB4FEF">
      <w:pPr>
        <w:pStyle w:val="2"/>
        <w:spacing w:before="251" w:line="398" w:lineRule="auto"/>
        <w:ind w:left="100" w:right="235" w:firstLine="394"/>
      </w:pPr>
      <w:r>
        <w:rPr>
          <w:spacing w:val="-4"/>
        </w:rPr>
        <w:t>《医疗机构执业许可证》正、副本复印件；《事业单位</w:t>
      </w:r>
      <w:r>
        <w:rPr>
          <w:spacing w:val="-5"/>
        </w:rPr>
        <w:t>法人证书》正、副本复印件；</w:t>
      </w:r>
      <w:r>
        <w:t xml:space="preserve"> </w:t>
      </w:r>
      <w:r>
        <w:rPr>
          <w:spacing w:val="2"/>
        </w:rPr>
        <w:t>法定代表人身份证复印件；法定代表人委托书1份；被委托人身份证复印件2份。</w:t>
      </w:r>
    </w:p>
    <w:p w14:paraId="07A1F46A">
      <w:pPr>
        <w:pStyle w:val="2"/>
        <w:spacing w:line="222" w:lineRule="auto"/>
        <w:ind w:left="539"/>
      </w:pPr>
      <w:r>
        <w:rPr>
          <w:spacing w:val="-3"/>
        </w:rPr>
        <w:t>违法事实的认定证据：</w:t>
      </w:r>
    </w:p>
    <w:p w14:paraId="308D264E">
      <w:pPr>
        <w:pStyle w:val="2"/>
        <w:spacing w:before="233" w:line="413" w:lineRule="auto"/>
        <w:ind w:left="100" w:right="238" w:firstLine="439"/>
      </w:pPr>
      <w:r>
        <w:rPr>
          <w:spacing w:val="8"/>
        </w:rPr>
        <w:t>现场笔录(2025年6月19日)1份；询问笔录(2025年6月30日；被询</w:t>
      </w:r>
      <w:r>
        <w:rPr>
          <w:spacing w:val="7"/>
        </w:rPr>
        <w:t>问人：王</w:t>
      </w:r>
      <w:r>
        <w:rPr>
          <w:rFonts w:hint="eastAsia"/>
          <w:spacing w:val="7"/>
          <w:lang w:val="en-US" w:eastAsia="zh-CN"/>
        </w:rPr>
        <w:t>xx</w:t>
      </w:r>
      <w:r>
        <w:rPr>
          <w:spacing w:val="7"/>
        </w:rPr>
        <w:t>)</w:t>
      </w:r>
      <w:r>
        <w:t xml:space="preserve"> </w:t>
      </w:r>
      <w:r>
        <w:rPr>
          <w:spacing w:val="3"/>
        </w:rPr>
        <w:t>1份；南阳市卫生健康体育委员会{2025}年第27号转办单</w:t>
      </w:r>
      <w:r>
        <w:rPr>
          <w:spacing w:val="2"/>
        </w:rPr>
        <w:t>1份；举报投诉材料1份；病历</w:t>
      </w:r>
    </w:p>
    <w:p w14:paraId="52DFC687"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56578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43" cy="1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EA5FA">
      <w:pPr>
        <w:spacing w:before="75" w:line="206" w:lineRule="auto"/>
        <w:ind w:left="5179" w:right="170" w:hanging="5129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  <w:u w:val="single" w:color="auto"/>
        </w:rPr>
        <w:t>备注：本决定书一式二联，第一联留存执法案卷，第二联交</w:t>
      </w:r>
      <w:r>
        <w:rPr>
          <w:rFonts w:ascii="宋体" w:hAnsi="宋体" w:eastAsia="宋体" w:cs="宋体"/>
          <w:spacing w:val="23"/>
          <w:sz w:val="23"/>
          <w:szCs w:val="23"/>
          <w:u w:val="single" w:color="auto"/>
        </w:rPr>
        <w:t xml:space="preserve">当事人。         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2"/>
          <w:w w:val="99"/>
          <w:sz w:val="23"/>
          <w:szCs w:val="23"/>
        </w:rPr>
        <w:t>中华人民共和国国家卫生健康委员会制定</w:t>
      </w:r>
    </w:p>
    <w:p w14:paraId="68C31F0C">
      <w:pPr>
        <w:spacing w:line="206" w:lineRule="auto"/>
        <w:rPr>
          <w:rFonts w:ascii="黑体" w:hAnsi="黑体" w:eastAsia="黑体" w:cs="黑体"/>
          <w:sz w:val="23"/>
          <w:szCs w:val="23"/>
        </w:rPr>
        <w:sectPr>
          <w:pgSz w:w="11910" w:h="16850"/>
          <w:pgMar w:top="940" w:right="1309" w:bottom="0" w:left="1519" w:header="0" w:footer="0" w:gutter="0"/>
          <w:cols w:space="720" w:num="1"/>
        </w:sectPr>
      </w:pPr>
    </w:p>
    <w:p w14:paraId="01F1073F">
      <w:pPr>
        <w:spacing w:before="45" w:line="241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2</w:t>
      </w:r>
    </w:p>
    <w:p w14:paraId="1942FB52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106045</wp:posOffset>
            </wp:positionV>
            <wp:extent cx="711200" cy="7366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134" cy="73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438E1">
      <w:pPr>
        <w:spacing w:line="250" w:lineRule="auto"/>
        <w:rPr>
          <w:rFonts w:ascii="Arial"/>
          <w:sz w:val="21"/>
        </w:rPr>
      </w:pPr>
    </w:p>
    <w:p w14:paraId="549A9923">
      <w:pPr>
        <w:pStyle w:val="2"/>
        <w:spacing w:before="113" w:line="221" w:lineRule="auto"/>
        <w:ind w:left="2080"/>
        <w:rPr>
          <w:sz w:val="35"/>
          <w:szCs w:val="35"/>
        </w:rPr>
      </w:pPr>
      <w:r>
        <w:rPr>
          <w:spacing w:val="-16"/>
          <w:sz w:val="35"/>
          <w:szCs w:val="35"/>
        </w:rPr>
        <w:t>卫</w:t>
      </w:r>
      <w:r>
        <w:rPr>
          <w:spacing w:val="60"/>
          <w:sz w:val="35"/>
          <w:szCs w:val="35"/>
        </w:rPr>
        <w:t xml:space="preserve">  </w:t>
      </w:r>
      <w:r>
        <w:rPr>
          <w:spacing w:val="-16"/>
          <w:sz w:val="35"/>
          <w:szCs w:val="35"/>
        </w:rPr>
        <w:t>生   行   政</w:t>
      </w:r>
      <w:r>
        <w:rPr>
          <w:spacing w:val="77"/>
          <w:sz w:val="35"/>
          <w:szCs w:val="35"/>
        </w:rPr>
        <w:t xml:space="preserve">  </w:t>
      </w:r>
      <w:r>
        <w:rPr>
          <w:spacing w:val="-16"/>
          <w:sz w:val="35"/>
          <w:szCs w:val="35"/>
        </w:rPr>
        <w:t>执   法</w:t>
      </w:r>
      <w:r>
        <w:rPr>
          <w:spacing w:val="77"/>
          <w:sz w:val="35"/>
          <w:szCs w:val="35"/>
        </w:rPr>
        <w:t xml:space="preserve">  </w:t>
      </w:r>
      <w:r>
        <w:rPr>
          <w:spacing w:val="-16"/>
          <w:sz w:val="35"/>
          <w:szCs w:val="35"/>
        </w:rPr>
        <w:t>文   书</w:t>
      </w:r>
    </w:p>
    <w:p w14:paraId="40002E58">
      <w:pPr>
        <w:spacing w:line="297" w:lineRule="auto"/>
        <w:rPr>
          <w:rFonts w:ascii="Arial"/>
          <w:sz w:val="21"/>
        </w:rPr>
      </w:pPr>
    </w:p>
    <w:p w14:paraId="143FF765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154305</wp:posOffset>
            </wp:positionV>
            <wp:extent cx="5676900" cy="127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3" cy="1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FDB41">
      <w:pPr>
        <w:spacing w:before="101" w:line="222" w:lineRule="auto"/>
        <w:ind w:left="31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行政处罚决定书续页</w:t>
      </w:r>
    </w:p>
    <w:p w14:paraId="1C714AF8">
      <w:pPr>
        <w:spacing w:before="205" w:line="222" w:lineRule="auto"/>
        <w:ind w:left="785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2"/>
          <w:sz w:val="23"/>
          <w:szCs w:val="23"/>
        </w:rPr>
        <w:t>第2页共2页</w:t>
      </w:r>
    </w:p>
    <w:p w14:paraId="28759439">
      <w:pPr>
        <w:pStyle w:val="2"/>
        <w:spacing w:before="213" w:line="219" w:lineRule="auto"/>
        <w:ind w:left="130"/>
      </w:pPr>
      <w:r>
        <w:t>封存笔录复印件2份；取证照片1份；</w:t>
      </w:r>
    </w:p>
    <w:p w14:paraId="23887631">
      <w:pPr>
        <w:pStyle w:val="2"/>
        <w:spacing w:before="251" w:line="401" w:lineRule="auto"/>
        <w:ind w:left="130" w:right="710" w:firstLine="499"/>
        <w:jc w:val="both"/>
      </w:pPr>
      <w:r>
        <w:rPr>
          <w:spacing w:val="3"/>
        </w:rPr>
        <w:t>依据《医疗纠纷预防和处理条例》第四十七条第七项“</w:t>
      </w:r>
      <w:r>
        <w:rPr>
          <w:spacing w:val="2"/>
        </w:rPr>
        <w:t>医疗机构及其医务人员有下</w:t>
      </w:r>
      <w:r>
        <w:t xml:space="preserve"> </w:t>
      </w:r>
      <w:r>
        <w:rPr>
          <w:spacing w:val="6"/>
        </w:rPr>
        <w:t>列情形之一的，由县级以上人民政府卫生主管部</w:t>
      </w:r>
      <w:r>
        <w:rPr>
          <w:spacing w:val="5"/>
        </w:rPr>
        <w:t>门责令改正，给予警告，并处1万元以</w:t>
      </w:r>
      <w:r>
        <w:t xml:space="preserve"> </w:t>
      </w:r>
      <w:r>
        <w:rPr>
          <w:spacing w:val="5"/>
        </w:rPr>
        <w:t>上5万元以下罚款；情节严重的，对直接负责的主管人员和其他直接责任人员给予或者</w:t>
      </w:r>
      <w:r>
        <w:rPr>
          <w:spacing w:val="11"/>
        </w:rPr>
        <w:t xml:space="preserve"> </w:t>
      </w:r>
      <w:r>
        <w:rPr>
          <w:spacing w:val="8"/>
        </w:rPr>
        <w:t>责令给予降低岗位等级或者撤职的处分，对有关医务人员可以责令暂停1个月以上6个</w:t>
      </w:r>
      <w:r>
        <w:rPr>
          <w:spacing w:val="10"/>
        </w:rPr>
        <w:t xml:space="preserve"> </w:t>
      </w:r>
      <w:r>
        <w:rPr>
          <w:spacing w:val="2"/>
        </w:rPr>
        <w:t>月以下执业活动；构成犯罪的，依法追究刑事责任：(七)未按规定封存、保管、启封病</w:t>
      </w:r>
      <w:r>
        <w:rPr>
          <w:spacing w:val="12"/>
        </w:rPr>
        <w:t xml:space="preserve"> </w:t>
      </w:r>
      <w:r>
        <w:rPr>
          <w:spacing w:val="2"/>
        </w:rPr>
        <w:t>历资料和现场实物；”的规定，根据你院违法行为的事实、性质、情节及社会危害程度</w:t>
      </w:r>
      <w:r>
        <w:rPr>
          <w:spacing w:val="12"/>
        </w:rPr>
        <w:t xml:space="preserve"> </w:t>
      </w:r>
      <w:r>
        <w:rPr>
          <w:spacing w:val="6"/>
        </w:rPr>
        <w:t>和相关证据，并参照《河南省卫生健康行政处罚裁量标准及</w:t>
      </w:r>
      <w:r>
        <w:rPr>
          <w:spacing w:val="5"/>
        </w:rPr>
        <w:t>适用规则等相关制度(2020</w:t>
      </w:r>
      <w:r>
        <w:t xml:space="preserve"> </w:t>
      </w:r>
      <w:r>
        <w:rPr>
          <w:spacing w:val="-2"/>
        </w:rPr>
        <w:t>年版)》,你院违法行为属于一般违法行为的表现情形，本机关决定对你院作出给予警告，</w:t>
      </w:r>
      <w:r>
        <w:rPr>
          <w:spacing w:val="11"/>
        </w:rPr>
        <w:t xml:space="preserve"> </w:t>
      </w:r>
      <w:r>
        <w:rPr>
          <w:spacing w:val="6"/>
        </w:rPr>
        <w:t>并处12000元整罚款的行政处罚；同时责令立即改正违法行</w:t>
      </w:r>
      <w:r>
        <w:rPr>
          <w:spacing w:val="5"/>
        </w:rPr>
        <w:t>为。</w:t>
      </w:r>
    </w:p>
    <w:p w14:paraId="0D30B4F3">
      <w:pPr>
        <w:pStyle w:val="2"/>
        <w:spacing w:before="63" w:line="395" w:lineRule="auto"/>
        <w:ind w:left="130" w:right="718" w:firstLine="479"/>
        <w:jc w:val="both"/>
      </w:pPr>
      <w:r>
        <w:rPr>
          <w:spacing w:val="4"/>
        </w:rPr>
        <w:t>罚款于收到本决定书之日起15 日内缴至中原银行，账号5</w:t>
      </w:r>
      <w:r>
        <w:rPr>
          <w:rFonts w:hint="eastAsia"/>
          <w:spacing w:val="4"/>
          <w:lang w:val="en-US" w:eastAsia="zh-CN"/>
        </w:rPr>
        <w:t>xxxxxxxxxx</w:t>
      </w:r>
      <w:r>
        <w:rPr>
          <w:spacing w:val="4"/>
        </w:rPr>
        <w:t xml:space="preserve">0,逾期不 </w:t>
      </w:r>
      <w:r>
        <w:rPr>
          <w:spacing w:val="10"/>
        </w:rPr>
        <w:t>缴纳罚款的，依据《中华人民共和国行政处罚法》第七十二条第一款第(一)项规定，</w:t>
      </w:r>
      <w:r>
        <w:rPr>
          <w:spacing w:val="3"/>
        </w:rPr>
        <w:t xml:space="preserve"> </w:t>
      </w:r>
      <w:r>
        <w:rPr>
          <w:spacing w:val="4"/>
        </w:rPr>
        <w:t>每日按罚款数额的3%加处罚款。</w:t>
      </w:r>
    </w:p>
    <w:p w14:paraId="6FCABB04">
      <w:pPr>
        <w:pStyle w:val="2"/>
        <w:spacing w:before="20" w:line="402" w:lineRule="auto"/>
        <w:ind w:left="90" w:right="810" w:firstLine="489"/>
        <w:jc w:val="both"/>
      </w:pPr>
      <w:r>
        <w:rPr>
          <w:spacing w:val="2"/>
        </w:rPr>
        <w:t>如不服本处罚决定，可在收到本处罚决定书之日起六十日内向南阳</w:t>
      </w:r>
      <w:r>
        <w:rPr>
          <w:spacing w:val="1"/>
        </w:rPr>
        <w:t>市人民政府申请</w:t>
      </w:r>
      <w:r>
        <w:t xml:space="preserve"> </w:t>
      </w:r>
      <w:r>
        <w:rPr>
          <w:spacing w:val="2"/>
        </w:rPr>
        <w:t>行政复议，或六个月内向南阳市卧龙区人民法院起诉，但不得停止执行本处罚决定。逾</w:t>
      </w:r>
      <w:r>
        <w:rPr>
          <w:spacing w:val="18"/>
        </w:rPr>
        <w:t xml:space="preserve"> </w:t>
      </w:r>
      <w:r>
        <w:rPr>
          <w:spacing w:val="3"/>
        </w:rPr>
        <w:t>期不申请行政复议也不向人民法院起诉，又不履行处罚决</w:t>
      </w:r>
      <w:r>
        <w:rPr>
          <w:spacing w:val="2"/>
        </w:rPr>
        <w:t>定的，本机关将依法申请人民</w:t>
      </w:r>
      <w:r>
        <w:t xml:space="preserve"> </w:t>
      </w:r>
      <w:r>
        <w:rPr>
          <w:spacing w:val="-2"/>
        </w:rPr>
        <w:t>法院强制执行。</w:t>
      </w:r>
    </w:p>
    <w:p w14:paraId="30371BA8">
      <w:pPr>
        <w:spacing w:line="247" w:lineRule="auto"/>
        <w:rPr>
          <w:rFonts w:ascii="Arial"/>
          <w:sz w:val="21"/>
        </w:rPr>
      </w:pPr>
    </w:p>
    <w:p w14:paraId="2D007C7C">
      <w:pPr>
        <w:spacing w:line="248" w:lineRule="auto"/>
        <w:rPr>
          <w:rFonts w:ascii="Arial"/>
          <w:sz w:val="21"/>
        </w:rPr>
      </w:pPr>
    </w:p>
    <w:p w14:paraId="5B901154">
      <w:pPr>
        <w:spacing w:line="248" w:lineRule="auto"/>
        <w:rPr>
          <w:rFonts w:ascii="Arial"/>
          <w:sz w:val="21"/>
        </w:rPr>
      </w:pPr>
    </w:p>
    <w:p w14:paraId="5E2637E0">
      <w:pPr>
        <w:spacing w:line="248" w:lineRule="auto"/>
        <w:rPr>
          <w:rFonts w:ascii="Arial"/>
          <w:sz w:val="21"/>
        </w:rPr>
      </w:pPr>
    </w:p>
    <w:p w14:paraId="4F0C65AF">
      <w:pPr>
        <w:spacing w:line="248" w:lineRule="auto"/>
        <w:rPr>
          <w:rFonts w:ascii="Arial"/>
          <w:sz w:val="21"/>
        </w:rPr>
      </w:pPr>
    </w:p>
    <w:p w14:paraId="05BE9893">
      <w:pPr>
        <w:spacing w:line="248" w:lineRule="auto"/>
        <w:rPr>
          <w:rFonts w:ascii="Arial"/>
          <w:sz w:val="21"/>
        </w:rPr>
      </w:pPr>
    </w:p>
    <w:p w14:paraId="6E4A832A">
      <w:pPr>
        <w:pStyle w:val="2"/>
        <w:spacing w:before="75" w:line="222" w:lineRule="auto"/>
        <w:ind w:left="5880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-801370</wp:posOffset>
            </wp:positionV>
            <wp:extent cx="1447800" cy="14287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31" cy="142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南阳市卫生健康体育委员会</w:t>
      </w:r>
    </w:p>
    <w:p w14:paraId="2D30042D">
      <w:pPr>
        <w:spacing w:line="258" w:lineRule="auto"/>
        <w:rPr>
          <w:rFonts w:ascii="Arial"/>
          <w:sz w:val="21"/>
        </w:rPr>
      </w:pPr>
    </w:p>
    <w:p w14:paraId="153DDA2B">
      <w:pPr>
        <w:spacing w:before="75" w:line="219" w:lineRule="auto"/>
        <w:ind w:left="630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>2</w:t>
      </w:r>
      <w:r>
        <w:rPr>
          <w:rFonts w:ascii="宋体" w:hAnsi="宋体" w:eastAsia="宋体" w:cs="宋体"/>
          <w:spacing w:val="-8"/>
          <w:sz w:val="23"/>
          <w:szCs w:val="23"/>
        </w:rPr>
        <w:t>0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>2</w:t>
      </w:r>
      <w:bookmarkStart w:id="0" w:name="_GoBack"/>
      <w:bookmarkEnd w:id="0"/>
      <w:r>
        <w:rPr>
          <w:rFonts w:ascii="宋体" w:hAnsi="宋体" w:eastAsia="宋体" w:cs="宋体"/>
          <w:spacing w:val="4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5</w:t>
      </w:r>
      <w:r>
        <w:rPr>
          <w:rFonts w:ascii="宋体" w:hAnsi="宋体" w:eastAsia="宋体" w:cs="宋体"/>
          <w:spacing w:val="34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年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月</w:t>
      </w:r>
      <w:r>
        <w:rPr>
          <w:rFonts w:ascii="宋体" w:hAnsi="宋体" w:eastAsia="宋体" w:cs="宋体"/>
          <w:spacing w:val="34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4   日</w:t>
      </w:r>
    </w:p>
    <w:p w14:paraId="77A1D669">
      <w:pPr>
        <w:spacing w:line="379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227330</wp:posOffset>
            </wp:positionV>
            <wp:extent cx="5657850" cy="12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843" cy="1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4D58C">
      <w:pPr>
        <w:spacing w:before="76" w:line="198" w:lineRule="auto"/>
        <w:ind w:left="5200" w:right="833" w:hanging="5150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  <w:u w:val="single" w:color="auto"/>
        </w:rPr>
        <w:t>备注：本决定书一式二联，第一联留存执法案卷，第二联交</w:t>
      </w:r>
      <w:r>
        <w:rPr>
          <w:rFonts w:ascii="宋体" w:hAnsi="宋体" w:eastAsia="宋体" w:cs="宋体"/>
          <w:spacing w:val="23"/>
          <w:sz w:val="23"/>
          <w:szCs w:val="23"/>
          <w:u w:val="single" w:color="auto"/>
        </w:rPr>
        <w:t xml:space="preserve">当事人。         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2"/>
          <w:w w:val="99"/>
          <w:sz w:val="23"/>
          <w:szCs w:val="23"/>
        </w:rPr>
        <w:t>中华人民共和国国家卫生健康委员会制定</w:t>
      </w:r>
    </w:p>
    <w:sectPr>
      <w:pgSz w:w="11910" w:h="16850"/>
      <w:pgMar w:top="396" w:right="646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E14C7F"/>
    <w:rsid w:val="74594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1322</Words>
  <Characters>1455</Characters>
  <TotalTime>4</TotalTime>
  <ScaleCrop>false</ScaleCrop>
  <LinksUpToDate>false</LinksUpToDate>
  <CharactersWithSpaces>1555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2026-01-19T11:49:00Z</dcterms:created>
  <dc:creator>Administrator</dc:creator>
  <cp:lastModifiedBy>666</cp:lastModifiedBy>
  <dcterms:modified xsi:type="dcterms:W3CDTF">2026-01-19T03:49:56Z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2026-01-19T11:49:42Z</vt:filetime>
  </property>
  <property fmtid="{D5CDD505-2E9C-101B-9397-08002B2CF9AE}" pid="4" name="UsrData">
    <vt:lpwstr>696da9d3f4e5d9001f9c2e11wl</vt:lpwstr>
  </property>
  <property fmtid="{D5CDD505-2E9C-101B-9397-08002B2CF9AE}" pid="5" name="KSOTemplateDocerSaveRecord">
    <vt:lpwstr>eyJoZGlkIjoiOTlhMjI2ZDkyNDUxMjU1MjU2ODc0NGQxYzViMDdmNjciLCJ1c2VySWQiOiI0Mzc2ODkzMzgifQ==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5AEC6597F9494CE896182950F12ED355_13</vt:lpwstr>
  </property>
</Properties>
</file>